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3BCE0">
      <w:pPr>
        <w:spacing w:line="360" w:lineRule="auto"/>
        <w:jc w:val="center"/>
        <w:outlineLvl w:val="0"/>
        <w:rPr>
          <w:b/>
          <w:sz w:val="36"/>
          <w:szCs w:val="36"/>
          <w:highlight w:val="none"/>
        </w:rPr>
      </w:pPr>
      <w:bookmarkStart w:id="1" w:name="_GoBack"/>
      <w:bookmarkEnd w:id="1"/>
      <w:bookmarkStart w:id="0" w:name="_Toc99301424"/>
      <w:r>
        <w:rPr>
          <w:b/>
          <w:sz w:val="36"/>
          <w:szCs w:val="36"/>
          <w:highlight w:val="none"/>
        </w:rPr>
        <w:t>采购需求</w:t>
      </w:r>
      <w:bookmarkEnd w:id="0"/>
    </w:p>
    <w:p w14:paraId="34FFD593">
      <w:pPr>
        <w:numPr>
          <w:ilvl w:val="0"/>
          <w:numId w:val="1"/>
        </w:numPr>
        <w:spacing w:after="160" w:line="360" w:lineRule="auto"/>
        <w:ind w:left="500" w:hanging="500"/>
        <w:contextualSpacing/>
        <w:rPr>
          <w:b/>
          <w:sz w:val="24"/>
        </w:rPr>
      </w:pPr>
      <w:r>
        <w:rPr>
          <w:b/>
          <w:sz w:val="24"/>
        </w:rPr>
        <w:t>采购标的</w:t>
      </w:r>
    </w:p>
    <w:p w14:paraId="5488F2E3">
      <w:pPr>
        <w:spacing w:after="160" w:line="360" w:lineRule="auto"/>
        <w:contextualSpacing/>
        <w:rPr>
          <w:bCs/>
          <w:sz w:val="24"/>
        </w:rPr>
      </w:pPr>
      <w:r>
        <w:rPr>
          <w:bCs/>
          <w:sz w:val="24"/>
        </w:rPr>
        <w:t>1. 采购标的（货物需求一览表或简要服务内容及数量）</w:t>
      </w:r>
    </w:p>
    <w:tbl>
      <w:tblPr>
        <w:tblStyle w:val="4"/>
        <w:tblW w:w="852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427"/>
        <w:gridCol w:w="1032"/>
        <w:gridCol w:w="1183"/>
        <w:gridCol w:w="1454"/>
        <w:gridCol w:w="1711"/>
      </w:tblGrid>
      <w:tr w14:paraId="4A76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5" w:type="dxa"/>
            <w:vAlign w:val="center"/>
          </w:tcPr>
          <w:p w14:paraId="1DBCAD7A">
            <w:pPr>
              <w:spacing w:after="160" w:line="278" w:lineRule="auto"/>
              <w:jc w:val="center"/>
              <w:rPr>
                <w:b/>
                <w:sz w:val="24"/>
                <w:szCs w:val="24"/>
              </w:rPr>
            </w:pPr>
            <w:r>
              <w:rPr>
                <w:rFonts w:hint="eastAsia"/>
                <w:b/>
                <w:sz w:val="24"/>
                <w:szCs w:val="24"/>
              </w:rPr>
              <w:t>序号</w:t>
            </w:r>
          </w:p>
        </w:tc>
        <w:tc>
          <w:tcPr>
            <w:tcW w:w="2427" w:type="dxa"/>
            <w:vAlign w:val="center"/>
          </w:tcPr>
          <w:p w14:paraId="35F8A7EA">
            <w:pPr>
              <w:spacing w:after="160" w:line="278" w:lineRule="auto"/>
              <w:jc w:val="center"/>
              <w:rPr>
                <w:b/>
                <w:sz w:val="24"/>
                <w:szCs w:val="24"/>
              </w:rPr>
            </w:pPr>
            <w:r>
              <w:rPr>
                <w:rFonts w:hint="eastAsia"/>
                <w:b/>
                <w:sz w:val="24"/>
                <w:szCs w:val="24"/>
              </w:rPr>
              <w:t>货物名称</w:t>
            </w:r>
          </w:p>
        </w:tc>
        <w:tc>
          <w:tcPr>
            <w:tcW w:w="1032" w:type="dxa"/>
            <w:vAlign w:val="center"/>
          </w:tcPr>
          <w:p w14:paraId="4F25A1A7">
            <w:pPr>
              <w:spacing w:after="160" w:line="278" w:lineRule="auto"/>
              <w:jc w:val="center"/>
              <w:rPr>
                <w:b/>
                <w:sz w:val="24"/>
                <w:szCs w:val="24"/>
              </w:rPr>
            </w:pPr>
            <w:r>
              <w:rPr>
                <w:rFonts w:hint="eastAsia"/>
                <w:b/>
                <w:sz w:val="24"/>
                <w:szCs w:val="24"/>
              </w:rPr>
              <w:t>数量</w:t>
            </w:r>
          </w:p>
        </w:tc>
        <w:tc>
          <w:tcPr>
            <w:tcW w:w="1183" w:type="dxa"/>
            <w:vAlign w:val="center"/>
          </w:tcPr>
          <w:p w14:paraId="51E3A475">
            <w:pPr>
              <w:spacing w:after="160" w:line="278" w:lineRule="auto"/>
              <w:jc w:val="center"/>
              <w:rPr>
                <w:b/>
                <w:sz w:val="24"/>
                <w:szCs w:val="24"/>
              </w:rPr>
            </w:pPr>
            <w:r>
              <w:rPr>
                <w:rFonts w:hint="eastAsia"/>
                <w:b/>
                <w:sz w:val="24"/>
                <w:szCs w:val="24"/>
              </w:rPr>
              <w:t>单位</w:t>
            </w:r>
          </w:p>
        </w:tc>
        <w:tc>
          <w:tcPr>
            <w:tcW w:w="1454" w:type="dxa"/>
          </w:tcPr>
          <w:p w14:paraId="22A3A8C4">
            <w:pPr>
              <w:spacing w:after="160" w:line="278" w:lineRule="auto"/>
              <w:jc w:val="center"/>
              <w:rPr>
                <w:b/>
                <w:sz w:val="24"/>
                <w:szCs w:val="24"/>
              </w:rPr>
            </w:pPr>
            <w:r>
              <w:rPr>
                <w:rFonts w:hint="eastAsia"/>
                <w:b/>
                <w:sz w:val="24"/>
                <w:szCs w:val="24"/>
              </w:rPr>
              <w:t>单价最高限价（元）</w:t>
            </w:r>
          </w:p>
        </w:tc>
        <w:tc>
          <w:tcPr>
            <w:tcW w:w="1711" w:type="dxa"/>
            <w:vAlign w:val="center"/>
          </w:tcPr>
          <w:p w14:paraId="6F6AD33F">
            <w:pPr>
              <w:jc w:val="center"/>
              <w:rPr>
                <w:b/>
                <w:sz w:val="24"/>
                <w:szCs w:val="24"/>
              </w:rPr>
            </w:pPr>
            <w:r>
              <w:rPr>
                <w:rFonts w:hint="eastAsia"/>
                <w:b/>
                <w:sz w:val="24"/>
                <w:szCs w:val="24"/>
              </w:rPr>
              <w:t>备注（核心产品）</w:t>
            </w:r>
          </w:p>
        </w:tc>
      </w:tr>
      <w:tr w14:paraId="3FFE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5" w:type="dxa"/>
            <w:vAlign w:val="center"/>
          </w:tcPr>
          <w:p w14:paraId="4160F703">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p>
        </w:tc>
        <w:tc>
          <w:tcPr>
            <w:tcW w:w="2427" w:type="dxa"/>
            <w:vAlign w:val="center"/>
          </w:tcPr>
          <w:p w14:paraId="02A82BB1">
            <w:pPr>
              <w:keepNext w:val="0"/>
              <w:keepLines w:val="0"/>
              <w:pageBreakBefore w:val="0"/>
              <w:widowControl w:val="0"/>
              <w:kinsoku/>
              <w:wordWrap/>
              <w:overflowPunct/>
              <w:topLinePunct w:val="0"/>
              <w:autoSpaceDE/>
              <w:autoSpaceDN/>
              <w:bidi w:val="0"/>
              <w:adjustRightInd/>
              <w:snapToGrid/>
              <w:spacing w:line="279" w:lineRule="auto"/>
              <w:ind w:firstLine="480" w:firstLineChars="200"/>
              <w:jc w:val="both"/>
              <w:textAlignment w:val="auto"/>
              <w:rPr>
                <w:sz w:val="24"/>
                <w:szCs w:val="24"/>
              </w:rPr>
            </w:pPr>
            <w:r>
              <w:rPr>
                <w:rFonts w:hint="eastAsia" w:ascii="宋体" w:hAnsi="宋体" w:cs="宋体"/>
                <w:color w:val="000000"/>
                <w:sz w:val="24"/>
                <w:szCs w:val="24"/>
              </w:rPr>
              <w:t>台式计算机</w:t>
            </w:r>
          </w:p>
        </w:tc>
        <w:tc>
          <w:tcPr>
            <w:tcW w:w="1032" w:type="dxa"/>
            <w:vAlign w:val="center"/>
          </w:tcPr>
          <w:p w14:paraId="5C0E4372">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both"/>
              <w:textAlignment w:val="auto"/>
              <w:rPr>
                <w:rFonts w:hint="default" w:eastAsia="宋体"/>
                <w:sz w:val="24"/>
                <w:szCs w:val="24"/>
                <w:lang w:val="en-US" w:eastAsia="zh-CN"/>
              </w:rPr>
            </w:pPr>
            <w:r>
              <w:rPr>
                <w:rFonts w:hint="eastAsia" w:ascii="宋体" w:hAnsi="宋体" w:cs="宋体"/>
                <w:color w:val="000000"/>
                <w:kern w:val="0"/>
                <w:sz w:val="24"/>
                <w:szCs w:val="24"/>
                <w:lang w:val="en-US" w:eastAsia="zh-CN" w:bidi="ar"/>
              </w:rPr>
              <w:t>800</w:t>
            </w:r>
          </w:p>
        </w:tc>
        <w:tc>
          <w:tcPr>
            <w:tcW w:w="1183" w:type="dxa"/>
            <w:vAlign w:val="center"/>
          </w:tcPr>
          <w:p w14:paraId="0F7178AC">
            <w:pPr>
              <w:keepNext w:val="0"/>
              <w:keepLines w:val="0"/>
              <w:pageBreakBefore w:val="0"/>
              <w:widowControl w:val="0"/>
              <w:kinsoku/>
              <w:wordWrap/>
              <w:overflowPunct/>
              <w:topLinePunct w:val="0"/>
              <w:autoSpaceDE/>
              <w:autoSpaceDN/>
              <w:bidi w:val="0"/>
              <w:adjustRightInd/>
              <w:snapToGrid/>
              <w:spacing w:line="279" w:lineRule="auto"/>
              <w:jc w:val="center"/>
              <w:textAlignment w:val="auto"/>
              <w:rPr>
                <w:sz w:val="24"/>
                <w:szCs w:val="24"/>
              </w:rPr>
            </w:pPr>
            <w:r>
              <w:rPr>
                <w:rFonts w:hint="eastAsia" w:ascii="宋体" w:hAnsi="宋体" w:cs="宋体"/>
                <w:color w:val="000000"/>
                <w:kern w:val="0"/>
                <w:sz w:val="24"/>
                <w:szCs w:val="24"/>
                <w:lang w:bidi="ar"/>
              </w:rPr>
              <w:t>套</w:t>
            </w:r>
          </w:p>
        </w:tc>
        <w:tc>
          <w:tcPr>
            <w:tcW w:w="1454" w:type="dxa"/>
            <w:vAlign w:val="center"/>
          </w:tcPr>
          <w:p w14:paraId="6AD7593F">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center"/>
              <w:textAlignment w:val="auto"/>
              <w:rPr>
                <w:sz w:val="24"/>
                <w:szCs w:val="24"/>
              </w:rPr>
            </w:pPr>
            <w:r>
              <w:rPr>
                <w:rFonts w:hint="eastAsia"/>
                <w:color w:val="000000"/>
                <w:sz w:val="24"/>
                <w:szCs w:val="24"/>
              </w:rPr>
              <w:t>6000</w:t>
            </w:r>
          </w:p>
        </w:tc>
        <w:tc>
          <w:tcPr>
            <w:tcW w:w="1711" w:type="dxa"/>
            <w:vAlign w:val="center"/>
          </w:tcPr>
          <w:p w14:paraId="6BE52FAC">
            <w:pPr>
              <w:keepNext w:val="0"/>
              <w:keepLines w:val="0"/>
              <w:pageBreakBefore w:val="0"/>
              <w:widowControl w:val="0"/>
              <w:kinsoku/>
              <w:wordWrap/>
              <w:overflowPunct/>
              <w:topLinePunct w:val="0"/>
              <w:autoSpaceDE/>
              <w:autoSpaceDN/>
              <w:bidi w:val="0"/>
              <w:adjustRightInd/>
              <w:snapToGrid/>
              <w:spacing w:line="279" w:lineRule="auto"/>
              <w:jc w:val="center"/>
              <w:textAlignment w:val="auto"/>
              <w:rPr>
                <w:sz w:val="24"/>
                <w:szCs w:val="24"/>
              </w:rPr>
            </w:pPr>
            <w:r>
              <w:rPr>
                <w:rFonts w:hint="eastAsia" w:ascii="宋体" w:hAnsi="宋体" w:cs="宋体"/>
                <w:color w:val="000000"/>
                <w:sz w:val="24"/>
                <w:szCs w:val="24"/>
              </w:rPr>
              <w:t>核心</w:t>
            </w:r>
            <w:r>
              <w:rPr>
                <w:rFonts w:hint="eastAsia"/>
                <w:sz w:val="24"/>
                <w:szCs w:val="24"/>
              </w:rPr>
              <w:t>产品</w:t>
            </w:r>
          </w:p>
        </w:tc>
      </w:tr>
      <w:tr w14:paraId="3806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5" w:type="dxa"/>
            <w:vAlign w:val="center"/>
          </w:tcPr>
          <w:p w14:paraId="27148230">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both"/>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2</w:t>
            </w:r>
          </w:p>
        </w:tc>
        <w:tc>
          <w:tcPr>
            <w:tcW w:w="2427" w:type="dxa"/>
            <w:vAlign w:val="center"/>
          </w:tcPr>
          <w:p w14:paraId="6C32EFD7">
            <w:pPr>
              <w:keepNext w:val="0"/>
              <w:keepLines w:val="0"/>
              <w:pageBreakBefore w:val="0"/>
              <w:widowControl w:val="0"/>
              <w:kinsoku/>
              <w:wordWrap/>
              <w:overflowPunct/>
              <w:topLinePunct w:val="0"/>
              <w:autoSpaceDE/>
              <w:autoSpaceDN/>
              <w:bidi w:val="0"/>
              <w:adjustRightInd/>
              <w:snapToGrid/>
              <w:spacing w:line="279" w:lineRule="auto"/>
              <w:ind w:firstLine="480" w:firstLineChars="200"/>
              <w:jc w:val="both"/>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一体式计算机</w:t>
            </w:r>
          </w:p>
        </w:tc>
        <w:tc>
          <w:tcPr>
            <w:tcW w:w="1032" w:type="dxa"/>
            <w:vAlign w:val="center"/>
          </w:tcPr>
          <w:p w14:paraId="1C304D0A">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both"/>
              <w:textAlignment w:val="auto"/>
              <w:rPr>
                <w:rFonts w:hint="default"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137</w:t>
            </w:r>
          </w:p>
        </w:tc>
        <w:tc>
          <w:tcPr>
            <w:tcW w:w="1183" w:type="dxa"/>
            <w:vAlign w:val="center"/>
          </w:tcPr>
          <w:p w14:paraId="6B6F4CBD">
            <w:pPr>
              <w:keepNext w:val="0"/>
              <w:keepLines w:val="0"/>
              <w:pageBreakBefore w:val="0"/>
              <w:widowControl w:val="0"/>
              <w:kinsoku/>
              <w:wordWrap/>
              <w:overflowPunct/>
              <w:topLinePunct w:val="0"/>
              <w:autoSpaceDE/>
              <w:autoSpaceDN/>
              <w:bidi w:val="0"/>
              <w:adjustRightInd/>
              <w:snapToGrid/>
              <w:spacing w:line="279" w:lineRule="auto"/>
              <w:jc w:val="center"/>
              <w:textAlignment w:val="auto"/>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套</w:t>
            </w:r>
          </w:p>
        </w:tc>
        <w:tc>
          <w:tcPr>
            <w:tcW w:w="1454" w:type="dxa"/>
            <w:vAlign w:val="center"/>
          </w:tcPr>
          <w:p w14:paraId="16F198D5">
            <w:pPr>
              <w:keepNext w:val="0"/>
              <w:keepLines w:val="0"/>
              <w:pageBreakBefore w:val="0"/>
              <w:widowControl w:val="0"/>
              <w:kinsoku/>
              <w:wordWrap/>
              <w:overflowPunct/>
              <w:topLinePunct w:val="0"/>
              <w:autoSpaceDE/>
              <w:autoSpaceDN/>
              <w:bidi w:val="0"/>
              <w:adjustRightInd/>
              <w:snapToGrid/>
              <w:spacing w:line="278" w:lineRule="auto"/>
              <w:ind w:firstLine="240" w:firstLineChars="100"/>
              <w:jc w:val="center"/>
              <w:textAlignment w:val="auto"/>
              <w:rPr>
                <w:rFonts w:hint="default" w:eastAsia="宋体"/>
                <w:color w:val="000000"/>
                <w:sz w:val="24"/>
                <w:szCs w:val="24"/>
                <w:lang w:val="en-US" w:eastAsia="zh-CN"/>
              </w:rPr>
            </w:pPr>
            <w:r>
              <w:rPr>
                <w:rFonts w:hint="eastAsia" w:ascii="Times New Roman" w:eastAsia="宋体"/>
                <w:color w:val="000000"/>
                <w:sz w:val="24"/>
                <w:szCs w:val="24"/>
                <w:lang w:val="en-US" w:eastAsia="zh-CN"/>
              </w:rPr>
              <w:t>6000</w:t>
            </w:r>
          </w:p>
        </w:tc>
        <w:tc>
          <w:tcPr>
            <w:tcW w:w="1711" w:type="dxa"/>
            <w:vAlign w:val="center"/>
          </w:tcPr>
          <w:p w14:paraId="7C47AAA3">
            <w:pPr>
              <w:keepNext w:val="0"/>
              <w:keepLines w:val="0"/>
              <w:pageBreakBefore w:val="0"/>
              <w:widowControl w:val="0"/>
              <w:kinsoku/>
              <w:wordWrap/>
              <w:overflowPunct/>
              <w:topLinePunct w:val="0"/>
              <w:autoSpaceDE/>
              <w:autoSpaceDN/>
              <w:bidi w:val="0"/>
              <w:adjustRightInd/>
              <w:snapToGrid/>
              <w:spacing w:line="279" w:lineRule="auto"/>
              <w:ind w:firstLine="480" w:firstLineChars="200"/>
              <w:jc w:val="center"/>
              <w:textAlignment w:val="auto"/>
              <w:rPr>
                <w:rFonts w:hint="eastAsia"/>
                <w:sz w:val="24"/>
                <w:szCs w:val="24"/>
              </w:rPr>
            </w:pPr>
          </w:p>
        </w:tc>
      </w:tr>
    </w:tbl>
    <w:p w14:paraId="02A884DC">
      <w:pPr>
        <w:spacing w:after="160" w:line="360" w:lineRule="auto"/>
        <w:contextualSpacing/>
        <w:rPr>
          <w:b/>
          <w:sz w:val="24"/>
        </w:rPr>
      </w:pPr>
    </w:p>
    <w:p w14:paraId="732EF950">
      <w:pPr>
        <w:numPr>
          <w:ilvl w:val="0"/>
          <w:numId w:val="1"/>
        </w:numPr>
        <w:spacing w:after="160" w:line="360" w:lineRule="auto"/>
        <w:ind w:left="500" w:hanging="500"/>
        <w:contextualSpacing/>
        <w:rPr>
          <w:b/>
          <w:sz w:val="24"/>
        </w:rPr>
      </w:pPr>
      <w:r>
        <w:rPr>
          <w:b/>
          <w:sz w:val="24"/>
        </w:rPr>
        <w:t>商务要求</w:t>
      </w:r>
    </w:p>
    <w:p w14:paraId="607CB94C">
      <w:pPr>
        <w:spacing w:after="160" w:line="360" w:lineRule="auto"/>
        <w:contextualSpacing/>
        <w:rPr>
          <w:i/>
          <w:sz w:val="24"/>
        </w:rPr>
      </w:pPr>
      <w:r>
        <w:rPr>
          <w:sz w:val="24"/>
        </w:rPr>
        <w:t>1. 交付（实施）的时间（期限）和地点（范围）</w:t>
      </w:r>
    </w:p>
    <w:p w14:paraId="2119A0BB">
      <w:pPr>
        <w:spacing w:after="160" w:line="360" w:lineRule="auto"/>
        <w:contextualSpacing/>
        <w:rPr>
          <w:iCs/>
          <w:sz w:val="24"/>
        </w:rPr>
      </w:pPr>
      <w:r>
        <w:rPr>
          <w:rFonts w:hint="eastAsia"/>
          <w:iCs/>
          <w:sz w:val="24"/>
        </w:rPr>
        <w:t>交货期：合同签订后</w:t>
      </w:r>
      <w:r>
        <w:rPr>
          <w:rFonts w:hint="eastAsia"/>
          <w:iCs/>
          <w:sz w:val="24"/>
          <w:lang w:val="en-US" w:eastAsia="zh-CN"/>
        </w:rPr>
        <w:t>15</w:t>
      </w:r>
      <w:r>
        <w:rPr>
          <w:rFonts w:hint="eastAsia"/>
          <w:iCs/>
          <w:sz w:val="24"/>
        </w:rPr>
        <w:t>个自然日内交付货物，最终交货时间以采购人要求为准。</w:t>
      </w:r>
    </w:p>
    <w:p w14:paraId="261DFFB7">
      <w:pPr>
        <w:spacing w:after="160" w:line="360" w:lineRule="auto"/>
        <w:contextualSpacing/>
        <w:rPr>
          <w:i/>
          <w:sz w:val="24"/>
        </w:rPr>
      </w:pPr>
      <w:r>
        <w:rPr>
          <w:rFonts w:hint="eastAsia"/>
          <w:iCs/>
          <w:sz w:val="24"/>
        </w:rPr>
        <w:t>交货地点：采购人指定地点</w:t>
      </w:r>
    </w:p>
    <w:p w14:paraId="08A027C8">
      <w:pPr>
        <w:spacing w:after="160" w:line="360" w:lineRule="auto"/>
        <w:contextualSpacing/>
        <w:rPr>
          <w:sz w:val="24"/>
        </w:rPr>
      </w:pPr>
      <w:r>
        <w:rPr>
          <w:sz w:val="24"/>
        </w:rPr>
        <w:t>2. 付款条件（进度和方式）</w:t>
      </w:r>
    </w:p>
    <w:p w14:paraId="6A592E3A">
      <w:pPr>
        <w:spacing w:after="160" w:line="360" w:lineRule="auto"/>
        <w:contextualSpacing/>
        <w:rPr>
          <w:rFonts w:hint="eastAsia"/>
          <w:sz w:val="24"/>
        </w:rPr>
      </w:pPr>
      <w:r>
        <w:rPr>
          <w:rFonts w:hint="eastAsia"/>
          <w:sz w:val="24"/>
        </w:rPr>
        <w:t>中标人每次向采购人交付产品并经采购人验收合格后，采购人根据中标人该次交付产品的品种、单价、数量，双方确认采购人应向中标人支付的款项。采购人通知中标人开具相应金额的发票，采购人收到发票并确认发票内容和金额无误后，在收到发票后30个工作日内，支付相应的合同价款。</w:t>
      </w:r>
    </w:p>
    <w:p w14:paraId="27B683FD">
      <w:pPr>
        <w:spacing w:after="160" w:line="360" w:lineRule="auto"/>
        <w:contextualSpacing/>
        <w:rPr>
          <w:rFonts w:eastAsia="宋体"/>
          <w:sz w:val="24"/>
        </w:rPr>
      </w:pPr>
      <w:r>
        <w:rPr>
          <w:rFonts w:eastAsia="宋体"/>
          <w:sz w:val="24"/>
        </w:rPr>
        <w:t>3. 包装和运输（须满足《关于印发〈商品包装政府采购需求标准（试行）〉、〈快递包装政府采购需求标准（试行）〉的通知》（财办库﹝2020﹞123号））</w:t>
      </w:r>
    </w:p>
    <w:p w14:paraId="235B178B">
      <w:pPr>
        <w:spacing w:after="160" w:line="360" w:lineRule="auto"/>
        <w:contextualSpacing/>
        <w:rPr>
          <w:rFonts w:eastAsia="宋体"/>
          <w:sz w:val="24"/>
        </w:rPr>
      </w:pPr>
      <w:r>
        <w:rPr>
          <w:rFonts w:eastAsia="宋体"/>
          <w:sz w:val="24"/>
        </w:rPr>
        <w:t>4. 售后服务（质保期）</w:t>
      </w:r>
    </w:p>
    <w:p w14:paraId="5875E94B">
      <w:pPr>
        <w:spacing w:after="160" w:line="360" w:lineRule="auto"/>
        <w:contextualSpacing/>
      </w:pPr>
      <w:r>
        <w:rPr>
          <w:rFonts w:hint="eastAsia" w:eastAsia="宋体"/>
          <w:sz w:val="24"/>
        </w:rPr>
        <w:t>所有产品提供不少于3年的原厂保修。保修期过后，投标人仍负责合同标的物的质量保障服务，保障产品主要部件，提供6年的备件服务能力，维修只收取材料成本费。</w:t>
      </w:r>
    </w:p>
    <w:p w14:paraId="3EF60A5D">
      <w:pPr>
        <w:numPr>
          <w:ilvl w:val="0"/>
          <w:numId w:val="1"/>
        </w:numPr>
        <w:spacing w:after="160" w:line="360" w:lineRule="auto"/>
        <w:ind w:left="500" w:hanging="500"/>
        <w:contextualSpacing/>
        <w:rPr>
          <w:rFonts w:eastAsia="宋体"/>
          <w:b/>
          <w:sz w:val="24"/>
        </w:rPr>
      </w:pPr>
      <w:r>
        <w:rPr>
          <w:rFonts w:eastAsia="宋体"/>
          <w:b/>
          <w:sz w:val="24"/>
        </w:rPr>
        <w:t>技术要求</w:t>
      </w:r>
    </w:p>
    <w:p w14:paraId="23E485D0">
      <w:pPr>
        <w:spacing w:after="160" w:line="360" w:lineRule="auto"/>
        <w:contextualSpacing/>
        <w:rPr>
          <w:rFonts w:eastAsia="宋体"/>
          <w:sz w:val="24"/>
        </w:rPr>
      </w:pPr>
      <w:r>
        <w:rPr>
          <w:rFonts w:eastAsia="宋体"/>
          <w:sz w:val="24"/>
        </w:rPr>
        <w:t>1. 基本要求</w:t>
      </w:r>
    </w:p>
    <w:p w14:paraId="6C0CB0E5">
      <w:pPr>
        <w:spacing w:after="160" w:line="360" w:lineRule="auto"/>
        <w:ind w:firstLine="480" w:firstLineChars="200"/>
        <w:contextualSpacing/>
        <w:rPr>
          <w:rFonts w:eastAsia="宋体"/>
          <w:sz w:val="24"/>
        </w:rPr>
      </w:pPr>
      <w:r>
        <w:rPr>
          <w:rFonts w:eastAsia="宋体"/>
          <w:sz w:val="24"/>
        </w:rPr>
        <w:t>1.1 采购标的需实现的功能或者目标</w:t>
      </w:r>
    </w:p>
    <w:p w14:paraId="158B939C">
      <w:pPr>
        <w:spacing w:after="160" w:line="360" w:lineRule="auto"/>
        <w:ind w:firstLine="480" w:firstLineChars="200"/>
        <w:contextualSpacing/>
        <w:rPr>
          <w:rFonts w:eastAsia="宋体"/>
          <w:sz w:val="24"/>
        </w:rPr>
      </w:pPr>
      <w:r>
        <w:rPr>
          <w:rFonts w:hint="eastAsia" w:eastAsia="宋体"/>
          <w:sz w:val="24"/>
        </w:rPr>
        <w:t>满足医院各科室挂号、收费、医嘱开立打印、住院病历、检查检验等业务所需，满足医院公共区域信息公示需求。</w:t>
      </w:r>
    </w:p>
    <w:p w14:paraId="287048CD">
      <w:pPr>
        <w:spacing w:after="160" w:line="360" w:lineRule="auto"/>
        <w:ind w:firstLine="480" w:firstLineChars="200"/>
        <w:contextualSpacing/>
        <w:rPr>
          <w:rFonts w:eastAsia="宋体"/>
          <w:sz w:val="24"/>
        </w:rPr>
      </w:pPr>
      <w:r>
        <w:rPr>
          <w:rFonts w:eastAsia="宋体"/>
          <w:sz w:val="24"/>
        </w:rPr>
        <w:t>1.2 需执行的国家相关标准、行业标准、地方标准或者其他标准、规范</w:t>
      </w:r>
    </w:p>
    <w:p w14:paraId="61DAB589">
      <w:pPr>
        <w:spacing w:after="160" w:line="360" w:lineRule="auto"/>
        <w:ind w:firstLine="480" w:firstLineChars="200"/>
        <w:contextualSpacing/>
      </w:pPr>
      <w:r>
        <w:rPr>
          <w:rFonts w:hint="eastAsia" w:eastAsia="宋体"/>
          <w:sz w:val="24"/>
        </w:rPr>
        <w:t>GB/T9813《计算机通用规范》</w:t>
      </w:r>
    </w:p>
    <w:p w14:paraId="22E65607">
      <w:pPr>
        <w:numPr>
          <w:ilvl w:val="0"/>
          <w:numId w:val="2"/>
        </w:numPr>
        <w:spacing w:after="160" w:line="360" w:lineRule="auto"/>
        <w:contextualSpacing/>
        <w:rPr>
          <w:rFonts w:hint="eastAsia" w:eastAsia="宋体"/>
          <w:sz w:val="24"/>
        </w:rPr>
      </w:pPr>
      <w:r>
        <w:rPr>
          <w:rFonts w:eastAsia="宋体"/>
          <w:sz w:val="24"/>
        </w:rPr>
        <w:t>货物技术要求</w:t>
      </w:r>
    </w:p>
    <w:p w14:paraId="331C004A">
      <w:pPr>
        <w:spacing w:after="160" w:line="360" w:lineRule="auto"/>
        <w:ind w:firstLine="480" w:firstLineChars="200"/>
        <w:contextualSpacing/>
        <w:rPr>
          <w:rFonts w:eastAsia="宋体"/>
          <w:sz w:val="24"/>
        </w:rPr>
      </w:pPr>
      <w:r>
        <w:rPr>
          <w:rFonts w:hint="eastAsia" w:eastAsia="宋体"/>
          <w:sz w:val="24"/>
        </w:rPr>
        <w:t>2.1</w:t>
      </w:r>
      <w:r>
        <w:rPr>
          <w:rFonts w:hint="eastAsia" w:eastAsia="宋体"/>
          <w:sz w:val="24"/>
          <w:lang w:val="en-US" w:eastAsia="zh-CN"/>
        </w:rPr>
        <w:t>台式</w:t>
      </w:r>
      <w:r>
        <w:rPr>
          <w:rFonts w:hint="eastAsia" w:eastAsia="宋体"/>
          <w:sz w:val="24"/>
        </w:rPr>
        <w:t>计算机</w:t>
      </w:r>
    </w:p>
    <w:tbl>
      <w:tblPr>
        <w:tblStyle w:val="4"/>
        <w:tblpPr w:leftFromText="180" w:rightFromText="180" w:vertAnchor="text" w:horzAnchor="page" w:tblpX="1267" w:tblpY="420"/>
        <w:tblOverlap w:val="never"/>
        <w:tblW w:w="89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737"/>
        <w:gridCol w:w="1134"/>
        <w:gridCol w:w="2154"/>
        <w:gridCol w:w="4309"/>
      </w:tblGrid>
      <w:tr w14:paraId="22985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BA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18"/>
                <w:szCs w:val="18"/>
                <w:u w:val="none"/>
                <w:lang w:val="en-US" w:eastAsia="zh-CN" w:bidi="ar"/>
              </w:rPr>
              <w:t>序号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F0C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34A7">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DC70">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99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18"/>
                <w:szCs w:val="18"/>
                <w:u w:val="none"/>
                <w:lang w:val="en-US" w:eastAsia="zh-CN" w:bidi="ar"/>
              </w:rPr>
              <w:t>指标要求</w:t>
            </w:r>
          </w:p>
        </w:tc>
      </w:tr>
      <w:tr w14:paraId="5CC0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945B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6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69AAC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CPU规格</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E019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 信息</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103D0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供应商给出 CPU 信息，包含 CPU 型号、物理核心数、主频、末级缓存容量、线程数、热设计功耗及内存的最高速率、通道数和位宽</w:t>
            </w:r>
          </w:p>
        </w:tc>
      </w:tr>
      <w:tr w14:paraId="3CE9F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F691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C9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6636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内存规格</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2A84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19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≥16GB</w:t>
            </w:r>
          </w:p>
        </w:tc>
      </w:tr>
      <w:tr w14:paraId="0E9A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7C20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3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DBECE6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C484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8F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DDR4 3200及以上内存类型</w:t>
            </w:r>
          </w:p>
        </w:tc>
      </w:tr>
      <w:tr w14:paraId="7194D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9BF3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F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050BC1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9C71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C9A37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配置内存≥1条，内存插槽数≥2</w:t>
            </w:r>
          </w:p>
        </w:tc>
      </w:tr>
      <w:tr w14:paraId="5A1F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0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F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3337D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63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69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r>
      <w:tr w14:paraId="34D6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8DA2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2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73B0A2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0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★主板支持的 CPU和内存情况</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C7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供应商给出主板支持的CPU 和内存型号和数量</w:t>
            </w:r>
          </w:p>
        </w:tc>
      </w:tr>
      <w:tr w14:paraId="61CF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9FFC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6F3B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E2740D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DA52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375A64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PCIe 插槽数量不少于 2 个</w:t>
            </w:r>
          </w:p>
        </w:tc>
      </w:tr>
      <w:tr w14:paraId="39628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CA36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C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D00A68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C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★主板其他内置接口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B4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SATA接口≥2个，M.2接口≥2 个</w:t>
            </w:r>
          </w:p>
        </w:tc>
      </w:tr>
      <w:tr w14:paraId="3AC0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D0F3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CF24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918D28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3D85D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3F8B4D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≥16GB</w:t>
            </w:r>
          </w:p>
        </w:tc>
      </w:tr>
      <w:tr w14:paraId="39F40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E339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C3AF1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41D8D0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73D8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12BC52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≥32GB</w:t>
            </w:r>
          </w:p>
        </w:tc>
      </w:tr>
      <w:tr w14:paraId="79A4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A97A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6731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F6BF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A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0A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 块 M.2 SSD</w:t>
            </w:r>
          </w:p>
        </w:tc>
      </w:tr>
      <w:tr w14:paraId="20615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3A8A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5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E1B4F9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D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6D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≥512GB</w:t>
            </w:r>
          </w:p>
        </w:tc>
      </w:tr>
      <w:tr w14:paraId="003DF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8B40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8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0CA740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9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74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不配置机械硬盘</w:t>
            </w:r>
          </w:p>
        </w:tc>
      </w:tr>
      <w:tr w14:paraId="7D60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BA14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CB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644D3C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D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F8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不配置机械硬盘</w:t>
            </w:r>
          </w:p>
        </w:tc>
      </w:tr>
      <w:tr w14:paraId="0DED5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3968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1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3C2F9F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2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38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不配置机械硬盘</w:t>
            </w:r>
          </w:p>
        </w:tc>
      </w:tr>
      <w:tr w14:paraId="5082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D0CC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2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0B00438">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8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09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r>
      <w:tr w14:paraId="68EA9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3CD7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BDE30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8AF30BC">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F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12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不配置机械硬盘</w:t>
            </w:r>
          </w:p>
        </w:tc>
      </w:tr>
      <w:tr w14:paraId="6E7DF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B405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1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35C145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0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42F745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NVMe PCIe Gen4x4</w:t>
            </w:r>
          </w:p>
        </w:tc>
      </w:tr>
      <w:tr w14:paraId="6A42C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D56E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8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8C4E19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3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F5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采用插卡形态，选用符合M.2的标准形态</w:t>
            </w:r>
          </w:p>
        </w:tc>
      </w:tr>
      <w:tr w14:paraId="1D2CE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B0DA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8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1D137D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8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49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≥1个空置硬盘扩展位</w:t>
            </w:r>
          </w:p>
        </w:tc>
      </w:tr>
      <w:tr w14:paraId="0C29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C146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BA27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3751D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4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8A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集成显卡</w:t>
            </w:r>
          </w:p>
        </w:tc>
      </w:tr>
      <w:tr w14:paraId="0C71E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259B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1B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51957E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49E42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B7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11B9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E2F0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8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EC53F01">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D7E9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5E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6A0C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E4DF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1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A92C50E">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1310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3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251A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5424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25</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0539B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0A326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7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10F61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≥80%</w:t>
            </w:r>
          </w:p>
        </w:tc>
      </w:tr>
      <w:tr w14:paraId="2A484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7FA5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26</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E5C9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D12E01C">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1E6D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17DC6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≥1920x1080</w:t>
            </w:r>
          </w:p>
        </w:tc>
      </w:tr>
      <w:tr w14:paraId="35C0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7951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4346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4E45C2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0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6B6EC5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≥92 像素/英寸</w:t>
            </w:r>
          </w:p>
        </w:tc>
      </w:tr>
      <w:tr w14:paraId="1F4B2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C475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BF69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5E408C3">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DF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1C6B10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18"/>
                <w:szCs w:val="18"/>
                <w:u w:val="none"/>
                <w:lang w:val="en-US" w:eastAsia="zh-CN" w:bidi="ar"/>
              </w:rPr>
              <w:t>水平≥178 °</w:t>
            </w:r>
          </w:p>
        </w:tc>
      </w:tr>
      <w:tr w14:paraId="2921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5E3C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29</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70DD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EA4AF5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325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30C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18"/>
                <w:szCs w:val="18"/>
                <w:u w:val="none"/>
                <w:lang w:val="en-US" w:eastAsia="zh-CN" w:bidi="ar"/>
              </w:rPr>
              <w:t>≥23.8 英寸</w:t>
            </w:r>
          </w:p>
        </w:tc>
      </w:tr>
      <w:tr w14:paraId="2B2F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F483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1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E02EEA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42B92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59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16:9</w:t>
            </w:r>
          </w:p>
        </w:tc>
      </w:tr>
      <w:tr w14:paraId="17E0F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406E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B8B19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8FDFEE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6AC53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★显示器外观颜色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31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r>
      <w:tr w14:paraId="2EE12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6F78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0CFB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nil"/>
              <w:left w:val="single" w:color="000000" w:sz="4" w:space="0"/>
              <w:bottom w:val="nil"/>
              <w:right w:val="single" w:color="000000" w:sz="4" w:space="0"/>
            </w:tcBorders>
            <w:shd w:val="clear" w:color="auto" w:fill="auto"/>
            <w:vAlign w:val="center"/>
          </w:tcPr>
          <w:p w14:paraId="7BE44D1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6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E8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支持防蓝光模式</w:t>
            </w:r>
          </w:p>
        </w:tc>
      </w:tr>
      <w:tr w14:paraId="0584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8005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AE9D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D5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外设规格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E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E9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不配置传声器</w:t>
            </w:r>
          </w:p>
        </w:tc>
      </w:tr>
      <w:tr w14:paraId="0564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8F0E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8EBEA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CD0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C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94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不配置扬声器</w:t>
            </w:r>
          </w:p>
        </w:tc>
      </w:tr>
      <w:tr w14:paraId="1471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33C5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35</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6C2B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A976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F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★鼠标数量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39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≥1个</w:t>
            </w:r>
          </w:p>
        </w:tc>
      </w:tr>
      <w:tr w14:paraId="09CE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44EE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36</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CC9C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BE17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3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★键盘数量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25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≥1个</w:t>
            </w:r>
          </w:p>
        </w:tc>
      </w:tr>
      <w:tr w14:paraId="3AFC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DACE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3FE9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4F4C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1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E0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不配置摄像头</w:t>
            </w:r>
          </w:p>
        </w:tc>
      </w:tr>
      <w:tr w14:paraId="5123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09A0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E8EF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536B8">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7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光驱数量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DD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不配置光驱</w:t>
            </w:r>
          </w:p>
        </w:tc>
      </w:tr>
      <w:tr w14:paraId="312C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73E6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39</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70E4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D57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FE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57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104 键</w:t>
            </w:r>
          </w:p>
        </w:tc>
      </w:tr>
      <w:tr w14:paraId="6ABA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570D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40</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8AEB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2392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E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★键盘连接方式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87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w:t>
            </w:r>
          </w:p>
        </w:tc>
      </w:tr>
      <w:tr w14:paraId="673C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DE63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F6E3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B0F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28ED6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★有线键盘连接线</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AE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≥1.5 米</w:t>
            </w:r>
          </w:p>
        </w:tc>
      </w:tr>
      <w:tr w14:paraId="2F390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FCBB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62EA8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089C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C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★键盘颜色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3F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r>
      <w:tr w14:paraId="32DF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053FE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2DA9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32EF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B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72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w:t>
            </w:r>
          </w:p>
        </w:tc>
      </w:tr>
      <w:tr w14:paraId="0439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3DC0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251F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D5D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7A8D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41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≥1.5 米</w:t>
            </w:r>
          </w:p>
        </w:tc>
      </w:tr>
      <w:tr w14:paraId="4278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7F6F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6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66671">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E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★鼠标 DPI分辨率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58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800~1600</w:t>
            </w:r>
          </w:p>
        </w:tc>
      </w:tr>
      <w:tr w14:paraId="348A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B962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46</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8B7F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DD4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1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★鼠标颜色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8E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r>
      <w:tr w14:paraId="2F46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9F98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BE38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4E9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7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内置光驱</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98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不配置光驱</w:t>
            </w:r>
          </w:p>
        </w:tc>
      </w:tr>
      <w:tr w14:paraId="3496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1944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09C13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0C087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网络设备规格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1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AD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w:t>
            </w:r>
          </w:p>
        </w:tc>
      </w:tr>
      <w:tr w14:paraId="20681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F434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1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039BC0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5613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00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4792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4C43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1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7EDEB4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A418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CE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68066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518C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B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7F9D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F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1D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机箱应提供不少于8个原生USB接口（含 4 个 USB3.0 及以上接口），须列明每种usb接口协议、类型、数量</w:t>
            </w:r>
          </w:p>
        </w:tc>
      </w:tr>
      <w:tr w14:paraId="191A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6FB0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7695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A644E5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2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32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 个接口，1 个原生 DP 接口和1 个原生 HDMI 接口</w:t>
            </w:r>
          </w:p>
        </w:tc>
      </w:tr>
      <w:tr w14:paraId="2A3F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5CBC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D816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DCC7DF1">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F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58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w:t>
            </w:r>
          </w:p>
        </w:tc>
      </w:tr>
      <w:tr w14:paraId="28AAC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restart"/>
            <w:tcBorders>
              <w:top w:val="single" w:color="000000" w:sz="4" w:space="0"/>
              <w:left w:val="single" w:color="000000" w:sz="4" w:space="0"/>
              <w:bottom w:val="nil"/>
              <w:right w:val="single" w:color="000000" w:sz="4" w:space="0"/>
            </w:tcBorders>
            <w:shd w:val="clear" w:color="auto" w:fill="auto"/>
            <w:vAlign w:val="center"/>
          </w:tcPr>
          <w:p w14:paraId="1FD75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54</w:t>
            </w:r>
          </w:p>
        </w:tc>
        <w:tc>
          <w:tcPr>
            <w:tcW w:w="737" w:type="dxa"/>
            <w:vMerge w:val="restart"/>
            <w:tcBorders>
              <w:top w:val="single" w:color="000000" w:sz="4" w:space="0"/>
              <w:left w:val="single" w:color="000000" w:sz="4" w:space="0"/>
              <w:bottom w:val="nil"/>
              <w:right w:val="single" w:color="000000" w:sz="4" w:space="0"/>
            </w:tcBorders>
            <w:shd w:val="clear" w:color="auto" w:fill="auto"/>
            <w:vAlign w:val="center"/>
          </w:tcPr>
          <w:p w14:paraId="4F9BF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C94C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整机基础规格</w:t>
            </w:r>
          </w:p>
        </w:tc>
        <w:tc>
          <w:tcPr>
            <w:tcW w:w="2154" w:type="dxa"/>
            <w:vMerge w:val="restart"/>
            <w:tcBorders>
              <w:top w:val="single" w:color="000000" w:sz="4" w:space="0"/>
              <w:left w:val="single" w:color="000000" w:sz="4" w:space="0"/>
              <w:bottom w:val="nil"/>
              <w:right w:val="single" w:color="000000" w:sz="4" w:space="0"/>
            </w:tcBorders>
            <w:shd w:val="clear" w:color="auto" w:fill="auto"/>
            <w:vAlign w:val="center"/>
          </w:tcPr>
          <w:p w14:paraId="265A5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★整机外观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A8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w:t>
            </w:r>
          </w:p>
        </w:tc>
      </w:tr>
      <w:tr w14:paraId="21F5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68E76398">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58DAB92A">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EEDC059">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55234011">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A8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 产品表面说明功能的文字、符号、标志，应清晰、端正、牢固</w:t>
            </w:r>
          </w:p>
        </w:tc>
      </w:tr>
      <w:tr w14:paraId="6D3BA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CA3E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A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128D87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F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★状态指示灯</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2B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在产品显著位置提供状态指示功能，如运行状态，并由供应商提供详细参数</w:t>
            </w:r>
          </w:p>
        </w:tc>
      </w:tr>
      <w:tr w14:paraId="5C76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restart"/>
            <w:tcBorders>
              <w:top w:val="single" w:color="000000" w:sz="4" w:space="0"/>
              <w:left w:val="single" w:color="000000" w:sz="4" w:space="0"/>
              <w:bottom w:val="nil"/>
              <w:right w:val="single" w:color="000000" w:sz="4" w:space="0"/>
            </w:tcBorders>
            <w:shd w:val="clear" w:color="auto" w:fill="auto"/>
            <w:vAlign w:val="center"/>
          </w:tcPr>
          <w:p w14:paraId="4152F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56</w:t>
            </w:r>
          </w:p>
        </w:tc>
        <w:tc>
          <w:tcPr>
            <w:tcW w:w="737" w:type="dxa"/>
            <w:vMerge w:val="restart"/>
            <w:tcBorders>
              <w:top w:val="single" w:color="000000" w:sz="4" w:space="0"/>
              <w:left w:val="single" w:color="000000" w:sz="4" w:space="0"/>
              <w:bottom w:val="nil"/>
              <w:right w:val="single" w:color="000000" w:sz="4" w:space="0"/>
            </w:tcBorders>
            <w:shd w:val="clear" w:color="auto" w:fill="auto"/>
            <w:vAlign w:val="center"/>
          </w:tcPr>
          <w:p w14:paraId="0309C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7950B56">
            <w:pPr>
              <w:jc w:val="center"/>
              <w:rPr>
                <w:rFonts w:hint="eastAsia" w:ascii="宋体" w:hAnsi="宋体" w:eastAsia="宋体" w:cs="宋体"/>
                <w:i w:val="0"/>
                <w:iCs w:val="0"/>
                <w:color w:val="000000"/>
                <w:sz w:val="24"/>
                <w:szCs w:val="24"/>
                <w:u w:val="none"/>
              </w:rPr>
            </w:pPr>
          </w:p>
        </w:tc>
        <w:tc>
          <w:tcPr>
            <w:tcW w:w="2154" w:type="dxa"/>
            <w:vMerge w:val="restart"/>
            <w:tcBorders>
              <w:top w:val="single" w:color="000000" w:sz="4" w:space="0"/>
              <w:left w:val="single" w:color="000000" w:sz="4" w:space="0"/>
              <w:bottom w:val="nil"/>
              <w:right w:val="single" w:color="000000" w:sz="4" w:space="0"/>
            </w:tcBorders>
            <w:shd w:val="clear" w:color="auto" w:fill="auto"/>
            <w:vAlign w:val="center"/>
          </w:tcPr>
          <w:p w14:paraId="19DF6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★整机结构</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C29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 机箱应符合 GB/T 4208、GB/T 26246的相关规定；</w:t>
            </w:r>
          </w:p>
        </w:tc>
      </w:tr>
      <w:tr w14:paraId="75746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7558FCC2">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3DAAD95A">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B68983B">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7E511D2D">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AA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 产品内部结构应符合通用部件的安装需求；</w:t>
            </w:r>
          </w:p>
        </w:tc>
      </w:tr>
      <w:tr w14:paraId="67CD5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4FA33D9B">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1E6423D4">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923F653">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6EACD068">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D8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 所有输入输出接口应符合相关国家或行业标准；</w:t>
            </w:r>
          </w:p>
        </w:tc>
      </w:tr>
      <w:tr w14:paraId="31D3E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6D913584">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7008696A">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5A6406A">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788D3E75">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C3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d) 产品零部件应紧固无松动，可插拔部件应可靠连接，开关、按钮和其它控制部件应灵活可靠，布局应方便使用；</w:t>
            </w:r>
          </w:p>
        </w:tc>
      </w:tr>
      <w:tr w14:paraId="1012B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06BC2AE5">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26DA90E4">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EED0386">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3A867FC1">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35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e) 所有 I/O 连接器及需插接线缆的部位应预留采购人操作空间，方便插拔解锁与插拔线缆；</w:t>
            </w:r>
          </w:p>
        </w:tc>
      </w:tr>
      <w:tr w14:paraId="1C900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1DD975D8">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785BE543">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F62F0B2">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3F612FFE">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88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f) 可插拔板卡插槽部位应预留安装、拆卸或更换板卡空间；</w:t>
            </w:r>
          </w:p>
        </w:tc>
      </w:tr>
      <w:tr w14:paraId="1549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0BDED2E8">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34AA185C">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1E8DE2F">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36AF2EDB">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DA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g) 拆装可能接触到的金属剪口或金属尖角部位应做防划伤处理，以保证安全；</w:t>
            </w:r>
          </w:p>
        </w:tc>
      </w:tr>
      <w:tr w14:paraId="58A4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1B9B1FAD">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6D79F96C">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24BE2D0">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478D190D">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49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h) 整机内部走线应规整，固线结构和位置要合理可靠并做防割线处理，需便于理线和插拔操作，走线应不影响系统各主要部件组装和拆卸；</w:t>
            </w:r>
          </w:p>
        </w:tc>
      </w:tr>
      <w:tr w14:paraId="21C8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479273FD">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13C4C6B5">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687E63F">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5C8F39C6">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24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i) 如需通过孔走线，过线孔应做防割线处理；</w:t>
            </w:r>
          </w:p>
        </w:tc>
      </w:tr>
      <w:tr w14:paraId="0F64E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4F89963E">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2CACA82A">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C35535A">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6BFC3B10">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A5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j) 各插头位置和插拔方向应合理，应做到插拔无障碍设计，具备防呆设计，有效避免误操作；</w:t>
            </w:r>
          </w:p>
        </w:tc>
      </w:tr>
      <w:tr w14:paraId="0F80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3861F4C9">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79345FCD">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F972105">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2D6A5363">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33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k) 各主要部件拆装无障碍，使用常规工具拆装，无特殊拆装工具需求。其中PCI扩展板卡免工具拆装，须提供实物照片并加盖公章；</w:t>
            </w:r>
          </w:p>
        </w:tc>
      </w:tr>
      <w:tr w14:paraId="4920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21769279">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67DB1BD2">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304BC25">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76B0A21D">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B5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l) 各主要部件拆装步骤要少，各自拆装需避免相互干扰；</w:t>
            </w:r>
          </w:p>
        </w:tc>
      </w:tr>
      <w:tr w14:paraId="127A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52C264D0">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436A9666">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9E55C6C">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6B5CEC1F">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523652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m) 对于整机或零部件外表面为高亮面的，应粘贴保护膜，保护膜需粘贴牢固，运输、组装等过程不易脱落，撕下无残留；</w:t>
            </w:r>
          </w:p>
        </w:tc>
      </w:tr>
      <w:tr w14:paraId="7661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nil"/>
              <w:right w:val="single" w:color="000000" w:sz="4" w:space="0"/>
            </w:tcBorders>
            <w:shd w:val="clear" w:color="auto" w:fill="auto"/>
            <w:vAlign w:val="center"/>
          </w:tcPr>
          <w:p w14:paraId="787155F6">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18534385">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822AA0F">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1FAA919B">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74EA5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n) 其它要求应符合 GB/T 9813.1 的相关规定</w:t>
            </w:r>
          </w:p>
        </w:tc>
      </w:tr>
      <w:tr w14:paraId="0991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6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A1FD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3EA46E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72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★机箱防护要求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63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机箱应符合 GB/T 4208 中 IP20 防护要求</w:t>
            </w:r>
          </w:p>
        </w:tc>
      </w:tr>
      <w:tr w14:paraId="1CDA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2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59D1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BF4989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2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★整机噪音</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83A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产品工作在空闲状态下，产品的声功率级应不超过4.5 Bel</w:t>
            </w:r>
          </w:p>
        </w:tc>
      </w:tr>
      <w:tr w14:paraId="1DADD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8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5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3ED1AC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5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32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产品能效限定值应达到 GB 28380-2025标准中能效等级 3 级及以上</w:t>
            </w:r>
          </w:p>
        </w:tc>
      </w:tr>
      <w:tr w14:paraId="3C64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3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60</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BDCF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F5E79A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4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★机身材质</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65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塑料/金属等</w:t>
            </w:r>
          </w:p>
        </w:tc>
      </w:tr>
      <w:tr w14:paraId="16E6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D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606D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4BEC2C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6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★机身颜色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FEC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灰色/黑色等商务色系</w:t>
            </w:r>
          </w:p>
        </w:tc>
      </w:tr>
      <w:tr w14:paraId="5F726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3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4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618AD4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3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★机箱尺寸容量</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24EFE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机箱体积应不大于16L</w:t>
            </w:r>
          </w:p>
        </w:tc>
      </w:tr>
      <w:tr w14:paraId="7FA0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D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7672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24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9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4A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≥14核，20线程</w:t>
            </w:r>
          </w:p>
        </w:tc>
      </w:tr>
      <w:tr w14:paraId="2340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4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ADD6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8DB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C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 主频</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66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基本频率E核P核分别不低于 1.9GHz、2.6GHz，最大睿频E核P核分别不低于 3.7GHz、5.0GHz。</w:t>
            </w:r>
          </w:p>
        </w:tc>
      </w:tr>
      <w:tr w14:paraId="26AC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5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65</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2E0E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F315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1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6087AA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≥24MB</w:t>
            </w:r>
          </w:p>
        </w:tc>
      </w:tr>
      <w:tr w14:paraId="5193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F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3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281BE">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8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26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≥4800MT/s</w:t>
            </w:r>
          </w:p>
        </w:tc>
      </w:tr>
      <w:tr w14:paraId="4C77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1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67</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6F03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9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A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4309" w:type="dxa"/>
            <w:tcBorders>
              <w:top w:val="single" w:color="000000" w:sz="4" w:space="0"/>
              <w:left w:val="single" w:color="000000" w:sz="4" w:space="0"/>
              <w:bottom w:val="nil"/>
              <w:right w:val="single" w:color="000000" w:sz="4" w:space="0"/>
            </w:tcBorders>
            <w:shd w:val="clear" w:color="auto" w:fill="auto"/>
            <w:noWrap/>
            <w:vAlign w:val="center"/>
          </w:tcPr>
          <w:p w14:paraId="0081EA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≥3200MT/s</w:t>
            </w:r>
          </w:p>
        </w:tc>
      </w:tr>
      <w:tr w14:paraId="5BCD7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6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24B0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A63B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4A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D8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≥1920x1080</w:t>
            </w:r>
          </w:p>
        </w:tc>
      </w:tr>
      <w:tr w14:paraId="18D8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4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69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1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548DA6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3C8E0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858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2E262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0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D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9F21C23">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38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8B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386FF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0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AB8854E">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A7F4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79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显卡应支持 2 块屏幕同时显示，分辨率应不低于 1920×1080</w:t>
            </w:r>
          </w:p>
        </w:tc>
      </w:tr>
      <w:tr w14:paraId="1FD3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3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E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27D32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A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82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≥100Hz</w:t>
            </w:r>
          </w:p>
        </w:tc>
      </w:tr>
      <w:tr w14:paraId="6594A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B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A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934C56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5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4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771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NTSC≥72% 或 sRGB≥99%</w:t>
            </w:r>
          </w:p>
        </w:tc>
      </w:tr>
      <w:tr w14:paraId="6938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6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3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C8C022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4653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4309" w:type="dxa"/>
            <w:tcBorders>
              <w:top w:val="single" w:color="000000" w:sz="4" w:space="0"/>
              <w:left w:val="single" w:color="000000" w:sz="4" w:space="0"/>
              <w:bottom w:val="nil"/>
              <w:right w:val="single" w:color="000000" w:sz="4" w:space="0"/>
            </w:tcBorders>
            <w:shd w:val="clear" w:color="auto" w:fill="auto"/>
            <w:noWrap/>
            <w:vAlign w:val="center"/>
          </w:tcPr>
          <w:p w14:paraId="3F3A21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≤8ms</w:t>
            </w:r>
          </w:p>
        </w:tc>
      </w:tr>
      <w:tr w14:paraId="3F4EB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F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C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6FF62B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A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D8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≥250 尼特</w:t>
            </w:r>
          </w:p>
        </w:tc>
      </w:tr>
      <w:tr w14:paraId="4C05C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7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F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64D8A81">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59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C7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≥1500：1</w:t>
            </w:r>
          </w:p>
        </w:tc>
      </w:tr>
      <w:tr w14:paraId="0709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1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3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D8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网络设备性能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3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83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r>
      <w:tr w14:paraId="55E56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C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6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0299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51F4A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395569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7432A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E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79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5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25D2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7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45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6A6C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F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4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187DA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D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★内存扩展接口 (板载内存不涉及)</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6C87251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 个</w:t>
            </w:r>
          </w:p>
        </w:tc>
      </w:tr>
      <w:tr w14:paraId="26A2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2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F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82E3CB3">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0FFB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4BC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供应商给出主板支持存储扩展接口类型，如 UFS3.0、SATA3.0、SAS3.0、M.2等类型接口</w:t>
            </w:r>
          </w:p>
        </w:tc>
      </w:tr>
      <w:tr w14:paraId="37CC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8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F8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7F6F60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D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★主板USB瞬间过流保护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66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支持有瞬间过流保护功能</w:t>
            </w:r>
          </w:p>
        </w:tc>
      </w:tr>
      <w:tr w14:paraId="2335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4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A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0E4E74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3406F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C6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支持防静电保护功能</w:t>
            </w:r>
          </w:p>
        </w:tc>
      </w:tr>
      <w:tr w14:paraId="29D8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3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7BC41F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095FEE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4470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7FC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 或 VGA 或 Type-C 或 DVI 或 DP等接口外接显示器扩展功能、基于存储接口对产品进行增容功能等。产品I/O 接口，应具备外接标准 USB 设备、显示器、音频设备等内外部设备能力</w:t>
            </w:r>
          </w:p>
        </w:tc>
      </w:tr>
      <w:tr w14:paraId="6039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8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0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6EA23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显卡功能</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4052D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92D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显示接口至少支持HDMI和DP 2种</w:t>
            </w:r>
          </w:p>
        </w:tc>
      </w:tr>
      <w:tr w14:paraId="27A5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2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0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DF35C5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8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独立显卡数量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E48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不配置独立显卡</w:t>
            </w:r>
          </w:p>
        </w:tc>
      </w:tr>
      <w:tr w14:paraId="4B7D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0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9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8B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显示设备功能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E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★显示器接口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22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≥2个接口，至少包含1个HDMI，含HDMI数据线</w:t>
            </w:r>
          </w:p>
        </w:tc>
      </w:tr>
      <w:tr w14:paraId="3D136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4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0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1A8F9">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0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★显示器支架</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2E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显示器应提供显示器支架</w:t>
            </w:r>
          </w:p>
        </w:tc>
      </w:tr>
      <w:tr w14:paraId="54725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0F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89</w:t>
            </w:r>
          </w:p>
        </w:tc>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7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90634">
            <w:pPr>
              <w:jc w:val="center"/>
              <w:rPr>
                <w:rFonts w:hint="eastAsia" w:ascii="宋体" w:hAnsi="宋体" w:eastAsia="宋体" w:cs="宋体"/>
                <w:i w:val="0"/>
                <w:iCs w:val="0"/>
                <w:color w:val="000000"/>
                <w:sz w:val="24"/>
                <w:szCs w:val="24"/>
                <w:u w:val="none"/>
              </w:rPr>
            </w:pP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68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★显示器参数调节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90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a)提供 OSD 选单按钮用于调节色彩、模式等；</w:t>
            </w:r>
          </w:p>
        </w:tc>
      </w:tr>
      <w:tr w14:paraId="5C00B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3BC60">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BFE0">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8E861">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D2F61">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FF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b)支持色温、亮度、对比度调节</w:t>
            </w:r>
          </w:p>
        </w:tc>
      </w:tr>
      <w:tr w14:paraId="300DE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9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C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1C12C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存储功能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A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★存储功能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DB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通过 SATA 固态存储/PCIe 固态存储 /UFS 固态存储/SATA 硬磁盘等存储部件提供存储功能</w:t>
            </w:r>
          </w:p>
        </w:tc>
      </w:tr>
      <w:tr w14:paraId="7EFA0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F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C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73F9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网络设备功能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1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★网络功能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3C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r>
      <w:tr w14:paraId="3DCF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B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AD0396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8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AA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34CB8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C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E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A1413B8">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0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★数据传输</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A9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r>
      <w:tr w14:paraId="3DB61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94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6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63F816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E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蓝牙协议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6E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不配置蓝牙</w:t>
            </w:r>
          </w:p>
        </w:tc>
      </w:tr>
      <w:tr w14:paraId="0AC7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4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B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CF4D478">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52974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1F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RJ45 接口</w:t>
            </w:r>
          </w:p>
        </w:tc>
      </w:tr>
      <w:tr w14:paraId="2C41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6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9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15B1E5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6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89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不配置无线网卡</w:t>
            </w:r>
          </w:p>
        </w:tc>
      </w:tr>
      <w:tr w14:paraId="3FF1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E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1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2375D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外部接口功能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C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E9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3.5mm 孔径 3 段式或 4 段式接口</w:t>
            </w:r>
          </w:p>
        </w:tc>
      </w:tr>
      <w:tr w14:paraId="3D0E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5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6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A7D302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9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3D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显示接口至少支持HDMI和DP 2种</w:t>
            </w:r>
          </w:p>
        </w:tc>
      </w:tr>
      <w:tr w14:paraId="7E51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4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99</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60565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174649E">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51D5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★HDMI、DP、Type-C 显示接口要求</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65E41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r>
      <w:tr w14:paraId="02AC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4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B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AEDB4C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A22E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★其他接口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28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提供串行接口1个</w:t>
            </w:r>
          </w:p>
        </w:tc>
      </w:tr>
      <w:tr w14:paraId="1EE9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A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E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4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电源功能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9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64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电源功率≥250W，电源适配器电线组件应符合GB/T 15934 的要求，可拆线的插头和连接器可以不做要求</w:t>
            </w:r>
          </w:p>
        </w:tc>
      </w:tr>
      <w:tr w14:paraId="1092B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9A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E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32E58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45AB6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05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r>
      <w:tr w14:paraId="6A46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2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AB8133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52C6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B4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r>
      <w:tr w14:paraId="5D49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7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E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0FE401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29D70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BA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r>
      <w:tr w14:paraId="0FFF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4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9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3127BE4">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5CFEF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7B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r>
      <w:tr w14:paraId="49F7A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96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B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4A139C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4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★固件升级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9F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r>
      <w:tr w14:paraId="5DD5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8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1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7519188">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C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70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 BIOS 关闭以太网及 USB 接口</w:t>
            </w:r>
          </w:p>
        </w:tc>
      </w:tr>
      <w:tr w14:paraId="6F2E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7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56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CBA189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A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04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r>
      <w:tr w14:paraId="70E03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51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3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6DCCB22">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739D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96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r>
      <w:tr w14:paraId="3912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D3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9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F293D53">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6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36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r>
      <w:tr w14:paraId="1220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96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2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3A5851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276CC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E1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r>
      <w:tr w14:paraId="15B5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C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DE4E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0F2D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32390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E4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9254.2 的规定</w:t>
            </w:r>
          </w:p>
        </w:tc>
      </w:tr>
      <w:tr w14:paraId="101F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F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A379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C61483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68AA8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1EAC3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中规定</w:t>
            </w:r>
          </w:p>
        </w:tc>
      </w:tr>
      <w:tr w14:paraId="18C1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A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015B7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DE2CE2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A3DF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0555EC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中规定</w:t>
            </w:r>
          </w:p>
        </w:tc>
      </w:tr>
      <w:tr w14:paraId="1750D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5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115</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54793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503704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0768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56C8848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中规定</w:t>
            </w:r>
          </w:p>
        </w:tc>
      </w:tr>
      <w:tr w14:paraId="35E6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D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116</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72FA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8491AC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DFA6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D473B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中规定</w:t>
            </w:r>
          </w:p>
        </w:tc>
      </w:tr>
      <w:tr w14:paraId="2F6F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A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E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C8CF5C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72A4B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76A54B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中规定</w:t>
            </w:r>
          </w:p>
        </w:tc>
      </w:tr>
      <w:tr w14:paraId="31C24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E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34C9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D91CEB6">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E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★MTBF 测试</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483B7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MTBF (m1)≥100万小时</w:t>
            </w:r>
          </w:p>
        </w:tc>
      </w:tr>
      <w:tr w14:paraId="23E9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8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119</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172E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4AC1E1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D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F0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 GB/T 9813.1 和商品包装政府采购需求标准的相关规定</w:t>
            </w:r>
          </w:p>
        </w:tc>
      </w:tr>
      <w:tr w14:paraId="13FA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7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120</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5E32A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51E0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3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CB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供应商提供自检测试工具</w:t>
            </w:r>
          </w:p>
        </w:tc>
      </w:tr>
      <w:tr w14:paraId="5147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059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121</w:t>
            </w:r>
          </w:p>
        </w:tc>
        <w:tc>
          <w:tcPr>
            <w:tcW w:w="737" w:type="dxa"/>
            <w:vMerge w:val="restart"/>
            <w:tcBorders>
              <w:top w:val="single" w:color="000000" w:sz="4" w:space="0"/>
              <w:left w:val="single" w:color="000000" w:sz="4" w:space="0"/>
              <w:bottom w:val="nil"/>
              <w:right w:val="single" w:color="000000" w:sz="4" w:space="0"/>
            </w:tcBorders>
            <w:shd w:val="clear" w:color="auto" w:fill="auto"/>
            <w:vAlign w:val="center"/>
          </w:tcPr>
          <w:p w14:paraId="62DE4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7B53309">
            <w:pPr>
              <w:jc w:val="center"/>
              <w:rPr>
                <w:rFonts w:hint="eastAsia" w:ascii="宋体" w:hAnsi="宋体" w:eastAsia="宋体" w:cs="宋体"/>
                <w:i w:val="0"/>
                <w:iCs w:val="0"/>
                <w:color w:val="000000"/>
                <w:sz w:val="24"/>
                <w:szCs w:val="24"/>
                <w:u w:val="none"/>
              </w:rPr>
            </w:pPr>
          </w:p>
        </w:tc>
        <w:tc>
          <w:tcPr>
            <w:tcW w:w="2154" w:type="dxa"/>
            <w:vMerge w:val="restart"/>
            <w:tcBorders>
              <w:top w:val="single" w:color="000000" w:sz="4" w:space="0"/>
              <w:left w:val="single" w:color="000000" w:sz="4" w:space="0"/>
              <w:bottom w:val="nil"/>
              <w:right w:val="single" w:color="000000" w:sz="4" w:space="0"/>
            </w:tcBorders>
            <w:shd w:val="clear" w:color="auto" w:fill="auto"/>
            <w:vAlign w:val="center"/>
          </w:tcPr>
          <w:p w14:paraId="2F190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★服务响应</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CD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a)供应商提供电话、电子邮件、远程连接等多种形式服务；</w:t>
            </w:r>
          </w:p>
        </w:tc>
      </w:tr>
      <w:tr w14:paraId="71A7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1809">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5C626207">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2828008">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08EE6E46">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FCE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b)供应商提供同城4h、异地 12h 技术响应服务，2 个工作日解决问题，对于未能解决的问题和故障应提供可行的升级方案，并提供周转设备或更换设备；</w:t>
            </w:r>
          </w:p>
        </w:tc>
      </w:tr>
      <w:tr w14:paraId="43A3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50C2">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657414CC">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4243A4C">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0BDA1BE6">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6D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c)建立全国技术服务体系和服务团体，符合专业服务体系标准要求，提供原厂中文服务；</w:t>
            </w:r>
          </w:p>
        </w:tc>
      </w:tr>
      <w:tr w14:paraId="3D74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3F3E6">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nil"/>
              <w:right w:val="single" w:color="000000" w:sz="4" w:space="0"/>
            </w:tcBorders>
            <w:shd w:val="clear" w:color="auto" w:fill="auto"/>
            <w:vAlign w:val="center"/>
          </w:tcPr>
          <w:p w14:paraId="74A2BE72">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5CF35CB">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nil"/>
              <w:right w:val="single" w:color="000000" w:sz="4" w:space="0"/>
            </w:tcBorders>
            <w:shd w:val="clear" w:color="auto" w:fill="auto"/>
            <w:vAlign w:val="center"/>
          </w:tcPr>
          <w:p w14:paraId="4DAD7B5F">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2245EF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d)服务周期内提供产品的维修、换件和升级服务</w:t>
            </w:r>
          </w:p>
        </w:tc>
      </w:tr>
      <w:tr w14:paraId="09C5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B88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122</w:t>
            </w:r>
          </w:p>
        </w:tc>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9E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8E07E12">
            <w:pPr>
              <w:jc w:val="center"/>
              <w:rPr>
                <w:rFonts w:hint="eastAsia" w:ascii="宋体" w:hAnsi="宋体" w:eastAsia="宋体" w:cs="宋体"/>
                <w:i w:val="0"/>
                <w:iCs w:val="0"/>
                <w:color w:val="000000"/>
                <w:sz w:val="24"/>
                <w:szCs w:val="24"/>
                <w:u w:val="none"/>
              </w:rPr>
            </w:pP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B8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★服务周期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A2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a) 设备停产后应继续提供质量保障服务（含备品备件），服务终止时间与最后一批设备交付时间间隔不低于6 年；</w:t>
            </w:r>
          </w:p>
        </w:tc>
      </w:tr>
      <w:tr w14:paraId="02109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5B64A">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C62DA">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72490B0">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E81F2">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2E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b) 产品停止服务时间应提前 1 年告知；</w:t>
            </w:r>
          </w:p>
        </w:tc>
      </w:tr>
      <w:tr w14:paraId="698C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ECFD">
            <w:pPr>
              <w:jc w:val="center"/>
              <w:rPr>
                <w:rFonts w:hint="eastAsia" w:ascii="宋体" w:hAnsi="宋体" w:eastAsia="宋体" w:cs="宋体"/>
                <w:i w:val="0"/>
                <w:iCs w:val="0"/>
                <w:color w:val="000000"/>
                <w:sz w:val="24"/>
                <w:szCs w:val="24"/>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87C3C">
            <w:pPr>
              <w:jc w:val="center"/>
              <w:rPr>
                <w:rFonts w:hint="eastAsia" w:ascii="宋体" w:hAnsi="宋体" w:eastAsia="宋体" w:cs="宋体"/>
                <w:i w:val="0"/>
                <w:iCs w:val="0"/>
                <w:color w:val="000000"/>
                <w:sz w:val="24"/>
                <w:szCs w:val="24"/>
                <w:u w:val="none"/>
              </w:rPr>
            </w:pP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48C588C">
            <w:pPr>
              <w:jc w:val="center"/>
              <w:rPr>
                <w:rFonts w:hint="eastAsia" w:ascii="宋体" w:hAnsi="宋体" w:eastAsia="宋体" w:cs="宋体"/>
                <w:i w:val="0"/>
                <w:iCs w:val="0"/>
                <w:color w:val="000000"/>
                <w:sz w:val="24"/>
                <w:szCs w:val="24"/>
                <w:u w:val="none"/>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ABBE">
            <w:pPr>
              <w:jc w:val="center"/>
              <w:rPr>
                <w:rFonts w:hint="eastAsia" w:ascii="宋体" w:hAnsi="宋体" w:eastAsia="宋体" w:cs="宋体"/>
                <w:i w:val="0"/>
                <w:iCs w:val="0"/>
                <w:color w:val="000000"/>
                <w:sz w:val="24"/>
                <w:szCs w:val="24"/>
                <w:u w:val="none"/>
              </w:rPr>
            </w:pP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10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c) 应明确产品发布日期</w:t>
            </w:r>
          </w:p>
        </w:tc>
      </w:tr>
      <w:tr w14:paraId="29FD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140D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9053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C68DF7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25CAE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4309" w:type="dxa"/>
            <w:tcBorders>
              <w:top w:val="single" w:color="000000" w:sz="4" w:space="0"/>
              <w:left w:val="single" w:color="000000" w:sz="4" w:space="0"/>
              <w:bottom w:val="nil"/>
              <w:right w:val="single" w:color="000000" w:sz="4" w:space="0"/>
            </w:tcBorders>
            <w:shd w:val="clear" w:color="auto" w:fill="auto"/>
            <w:vAlign w:val="center"/>
          </w:tcPr>
          <w:p w14:paraId="7F8649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预装正版操作系统</w:t>
            </w:r>
          </w:p>
        </w:tc>
      </w:tr>
      <w:tr w14:paraId="330E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2A50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25137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EBC7385">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0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★培训服务</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53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r>
      <w:tr w14:paraId="053C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88B5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1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ECF549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54A91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4E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r>
      <w:tr w14:paraId="3390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7B5F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2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E8FA7C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41D31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BD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供应商提供满足采购人要求的操作系统定制化镜像及系统预部署服务。</w:t>
            </w:r>
          </w:p>
        </w:tc>
      </w:tr>
      <w:tr w14:paraId="4D30C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0214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7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65A1DC0">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028D9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80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主机提供原厂原装配置。原厂质保≥3年，提供备件、人工、上门服务，以上费用包含在投标报价中，</w:t>
            </w:r>
            <w:r>
              <w:rPr>
                <w:rFonts w:hint="eastAsia" w:ascii="宋体" w:hAnsi="宋体" w:cs="宋体"/>
                <w:i w:val="0"/>
                <w:iCs w:val="0"/>
                <w:color w:val="000000"/>
                <w:kern w:val="0"/>
                <w:sz w:val="18"/>
                <w:szCs w:val="18"/>
                <w:u w:val="none"/>
                <w:lang w:val="en-US" w:eastAsia="zh-CN" w:bidi="ar"/>
              </w:rPr>
              <w:t>投标人</w:t>
            </w:r>
            <w:r>
              <w:rPr>
                <w:rFonts w:hint="eastAsia" w:ascii="宋体" w:hAnsi="宋体" w:eastAsia="宋体" w:cs="宋体"/>
                <w:i w:val="0"/>
                <w:iCs w:val="0"/>
                <w:color w:val="000000"/>
                <w:kern w:val="0"/>
                <w:sz w:val="18"/>
                <w:szCs w:val="18"/>
                <w:u w:val="none"/>
                <w:lang w:val="en-US" w:eastAsia="zh-CN" w:bidi="ar"/>
              </w:rPr>
              <w:t>提供售后服务承诺函</w:t>
            </w:r>
            <w:r>
              <w:rPr>
                <w:rFonts w:hint="eastAsia" w:ascii="宋体" w:hAnsi="宋体" w:cs="宋体"/>
                <w:color w:val="000000"/>
                <w:kern w:val="0"/>
                <w:sz w:val="18"/>
                <w:szCs w:val="18"/>
                <w:u w:val="none"/>
                <w:lang w:bidi="ar"/>
              </w:rPr>
              <w:t>及整机所有部件原厂原装承诺函</w:t>
            </w:r>
            <w:r>
              <w:rPr>
                <w:rFonts w:hint="eastAsia" w:ascii="宋体" w:hAnsi="宋体" w:cs="宋体"/>
                <w:color w:val="000000"/>
                <w:kern w:val="0"/>
                <w:sz w:val="18"/>
                <w:szCs w:val="18"/>
                <w:u w:val="none"/>
                <w:lang w:eastAsia="zh-CN" w:bidi="ar"/>
              </w:rPr>
              <w:t>。</w:t>
            </w:r>
          </w:p>
        </w:tc>
      </w:tr>
      <w:tr w14:paraId="72B9D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A871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128</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05619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DA1E6EB">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C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AA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r>
      <w:tr w14:paraId="742A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E306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8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C9AB6D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60C72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7A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r>
      <w:tr w14:paraId="74E7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BB9C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B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80CE9CF">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18CC1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E1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r>
      <w:tr w14:paraId="2BFC1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6A55D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131</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0F54A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54C36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供应链合规性</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8F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D2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供应商保障产品主要部件，提供 6 年的备件服务能力（自购买之日起），或提供可兼容原设备的升级换代产品</w:t>
            </w:r>
          </w:p>
        </w:tc>
      </w:tr>
      <w:tr w14:paraId="09D2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4493E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170D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D1712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D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★抗干扰性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CA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r>
      <w:tr w14:paraId="29058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6294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133</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1E6A8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45166DA">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4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E4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r>
      <w:tr w14:paraId="6CDF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A463CC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134</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3929C2A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安全要求</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0FE102BD">
            <w:pPr>
              <w:widowControl/>
              <w:jc w:val="center"/>
              <w:textAlignment w:val="center"/>
              <w:rPr>
                <w:rFonts w:hint="eastAsia" w:ascii="宋体" w:hAnsi="宋体" w:eastAsia="宋体" w:cs="宋体"/>
                <w:i w:val="0"/>
                <w:iCs w:val="0"/>
                <w:color w:val="000000"/>
                <w:kern w:val="0"/>
                <w:sz w:val="18"/>
                <w:szCs w:val="18"/>
                <w:u w:val="none"/>
                <w:lang w:bidi="ar"/>
              </w:rPr>
            </w:pPr>
            <w:r>
              <w:rPr>
                <w:rFonts w:hint="eastAsia" w:ascii="宋体" w:hAnsi="宋体" w:eastAsia="宋体" w:cs="宋体"/>
                <w:i w:val="0"/>
                <w:iCs w:val="0"/>
                <w:color w:val="000000"/>
                <w:kern w:val="0"/>
                <w:sz w:val="18"/>
                <w:szCs w:val="18"/>
                <w:u w:val="none"/>
                <w:lang w:bidi="ar"/>
              </w:rPr>
              <w:t>关键部件</w:t>
            </w:r>
          </w:p>
          <w:p w14:paraId="50643A99">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bidi="ar"/>
              </w:rPr>
              <w:t>安全要求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0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★关键部件安全要求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AC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关键部件应当符合相关安全要求</w:t>
            </w:r>
          </w:p>
        </w:tc>
      </w:tr>
      <w:tr w14:paraId="2D07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68704E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135</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094E7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707B5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整机安全性要求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513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USB端口管控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AC82">
            <w:pPr>
              <w:widowControl/>
              <w:jc w:val="left"/>
              <w:textAlignment w:val="center"/>
              <w:rPr>
                <w:rFonts w:hint="default"/>
                <w:lang w:val="en-US" w:eastAsia="zh-CN"/>
              </w:rPr>
            </w:pPr>
            <w:r>
              <w:rPr>
                <w:rFonts w:hint="eastAsia" w:ascii="宋体" w:hAnsi="宋体" w:cs="宋体"/>
                <w:i w:val="0"/>
                <w:iCs w:val="0"/>
                <w:color w:val="000000"/>
                <w:kern w:val="0"/>
                <w:sz w:val="18"/>
                <w:szCs w:val="18"/>
                <w:u w:val="none"/>
                <w:lang w:val="en-US" w:eastAsia="zh-CN" w:bidi="ar"/>
              </w:rPr>
              <w:t>支持USB端口管控</w:t>
            </w:r>
          </w:p>
        </w:tc>
      </w:tr>
      <w:tr w14:paraId="197B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ED5F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A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right w:val="single" w:color="000000" w:sz="4" w:space="0"/>
            </w:tcBorders>
            <w:shd w:val="clear" w:color="auto" w:fill="auto"/>
            <w:vAlign w:val="center"/>
          </w:tcPr>
          <w:p w14:paraId="40887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1C10D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0B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支持安全物理锁</w:t>
            </w:r>
          </w:p>
        </w:tc>
      </w:tr>
      <w:tr w14:paraId="011E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2F4A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8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right w:val="single" w:color="000000" w:sz="4" w:space="0"/>
            </w:tcBorders>
            <w:shd w:val="clear" w:color="auto" w:fill="auto"/>
            <w:vAlign w:val="center"/>
          </w:tcPr>
          <w:p w14:paraId="46D6A977">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3AC8B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79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r>
      <w:tr w14:paraId="46C4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8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3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03760D4D">
            <w:pPr>
              <w:jc w:val="center"/>
              <w:rPr>
                <w:rFonts w:hint="eastAsia" w:ascii="宋体" w:hAnsi="宋体" w:eastAsia="宋体" w:cs="宋体"/>
                <w:i w:val="0"/>
                <w:iCs w:val="0"/>
                <w:color w:val="000000"/>
                <w:sz w:val="24"/>
                <w:szCs w:val="24"/>
                <w:u w:val="none"/>
              </w:rPr>
            </w:pPr>
          </w:p>
        </w:tc>
        <w:tc>
          <w:tcPr>
            <w:tcW w:w="2154" w:type="dxa"/>
            <w:tcBorders>
              <w:top w:val="single" w:color="000000" w:sz="4" w:space="0"/>
              <w:left w:val="nil"/>
              <w:bottom w:val="single" w:color="000000" w:sz="4" w:space="0"/>
              <w:right w:val="single" w:color="000000" w:sz="4" w:space="0"/>
            </w:tcBorders>
            <w:shd w:val="clear" w:color="auto" w:fill="auto"/>
            <w:vAlign w:val="center"/>
          </w:tcPr>
          <w:p w14:paraId="0B59C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50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符合GB/T 26572 中规定</w:t>
            </w:r>
          </w:p>
        </w:tc>
      </w:tr>
    </w:tbl>
    <w:p w14:paraId="00B4B4F0">
      <w:pPr>
        <w:rPr>
          <w:rFonts w:hint="eastAsia"/>
          <w:b/>
          <w:bCs/>
          <w:sz w:val="24"/>
        </w:rPr>
      </w:pPr>
      <w:r>
        <w:rPr>
          <w:rFonts w:hint="eastAsia"/>
          <w:b/>
          <w:bCs/>
          <w:sz w:val="24"/>
        </w:rPr>
        <w:br w:type="page"/>
      </w:r>
    </w:p>
    <w:p w14:paraId="43CFF40A">
      <w:pPr>
        <w:spacing w:after="160" w:line="360" w:lineRule="auto"/>
        <w:ind w:firstLine="480" w:firstLineChars="200"/>
        <w:contextualSpacing/>
        <w:rPr>
          <w:rFonts w:hint="eastAsia" w:eastAsia="宋体"/>
          <w:sz w:val="24"/>
        </w:rPr>
      </w:pPr>
      <w:r>
        <w:rPr>
          <w:rFonts w:hint="eastAsia" w:eastAsia="宋体"/>
          <w:sz w:val="24"/>
        </w:rPr>
        <w:t>2.</w:t>
      </w:r>
      <w:r>
        <w:rPr>
          <w:rFonts w:hint="eastAsia" w:eastAsia="宋体"/>
          <w:sz w:val="24"/>
          <w:lang w:val="en-US" w:eastAsia="zh-CN"/>
        </w:rPr>
        <w:t>2一体式</w:t>
      </w:r>
      <w:r>
        <w:rPr>
          <w:rFonts w:hint="eastAsia" w:eastAsia="宋体"/>
          <w:sz w:val="24"/>
        </w:rPr>
        <w:t>计算机</w:t>
      </w:r>
    </w:p>
    <w:tbl>
      <w:tblPr>
        <w:tblStyle w:val="4"/>
        <w:tblW w:w="8958" w:type="dxa"/>
        <w:tblInd w:w="-5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737"/>
        <w:gridCol w:w="1134"/>
        <w:gridCol w:w="2154"/>
        <w:gridCol w:w="4309"/>
      </w:tblGrid>
      <w:tr w14:paraId="7E8DA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D71E">
            <w:pPr>
              <w:keepNext w:val="0"/>
              <w:keepLines w:val="0"/>
              <w:widowControl/>
              <w:suppressLineNumbers w:val="0"/>
              <w:jc w:val="center"/>
              <w:textAlignment w:val="center"/>
              <w:rPr>
                <w:rFonts w:hint="eastAsia"/>
                <w:sz w:val="24"/>
                <w:szCs w:val="24"/>
              </w:rPr>
            </w:pPr>
            <w:r>
              <w:rPr>
                <w:rFonts w:hint="eastAsia" w:ascii="宋体" w:hAnsi="宋体" w:eastAsia="宋体" w:cs="宋体"/>
                <w:b/>
                <w:bCs/>
                <w:i w:val="0"/>
                <w:iCs w:val="0"/>
                <w:color w:val="000000"/>
                <w:kern w:val="0"/>
                <w:sz w:val="18"/>
                <w:szCs w:val="18"/>
                <w:u w:val="none"/>
                <w:lang w:val="en-US" w:eastAsia="zh-CN" w:bidi="ar"/>
              </w:rPr>
              <w:t>序号</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B5FB">
            <w:pPr>
              <w:keepNext w:val="0"/>
              <w:keepLines w:val="0"/>
              <w:widowControl/>
              <w:suppressLineNumbers w:val="0"/>
              <w:jc w:val="center"/>
              <w:textAlignment w:val="center"/>
              <w:rPr>
                <w:rFonts w:hint="eastAsia"/>
                <w:sz w:val="24"/>
                <w:szCs w:val="24"/>
              </w:rPr>
            </w:pPr>
            <w:r>
              <w:rPr>
                <w:rFonts w:hint="eastAsia" w:ascii="宋体" w:hAnsi="宋体" w:eastAsia="宋体" w:cs="宋体"/>
                <w:b/>
                <w:bCs/>
                <w:i w:val="0"/>
                <w:iCs w:val="0"/>
                <w:color w:val="000000"/>
                <w:kern w:val="0"/>
                <w:sz w:val="18"/>
                <w:szCs w:val="18"/>
                <w:u w:val="none"/>
                <w:lang w:val="en-US" w:eastAsia="zh-CN" w:bidi="ar"/>
              </w:rPr>
              <w:t>指标分类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E02C">
            <w:pPr>
              <w:keepNext w:val="0"/>
              <w:keepLines w:val="0"/>
              <w:widowControl/>
              <w:suppressLineNumbers w:val="0"/>
              <w:jc w:val="center"/>
              <w:textAlignment w:val="center"/>
              <w:rPr>
                <w:rFonts w:hint="eastAsia"/>
                <w:sz w:val="24"/>
                <w:szCs w:val="24"/>
              </w:rPr>
            </w:pPr>
            <w:r>
              <w:rPr>
                <w:rFonts w:hint="eastAsia" w:ascii="宋体" w:hAnsi="宋体" w:eastAsia="宋体" w:cs="宋体"/>
                <w:b/>
                <w:bCs/>
                <w:i w:val="0"/>
                <w:iCs w:val="0"/>
                <w:color w:val="000000"/>
                <w:kern w:val="0"/>
                <w:sz w:val="18"/>
                <w:szCs w:val="18"/>
                <w:u w:val="none"/>
                <w:lang w:val="en-US" w:eastAsia="zh-CN" w:bidi="ar"/>
              </w:rPr>
              <w:t>一级指标</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2DBD">
            <w:pPr>
              <w:keepNext w:val="0"/>
              <w:keepLines w:val="0"/>
              <w:widowControl/>
              <w:suppressLineNumbers w:val="0"/>
              <w:jc w:val="center"/>
              <w:textAlignment w:val="center"/>
              <w:rPr>
                <w:rFonts w:hint="eastAsia"/>
                <w:sz w:val="24"/>
                <w:szCs w:val="24"/>
              </w:rPr>
            </w:pPr>
            <w:r>
              <w:rPr>
                <w:rFonts w:hint="eastAsia" w:ascii="宋体" w:hAnsi="宋体" w:eastAsia="宋体" w:cs="宋体"/>
                <w:b/>
                <w:bCs/>
                <w:i w:val="0"/>
                <w:iCs w:val="0"/>
                <w:color w:val="000000"/>
                <w:kern w:val="0"/>
                <w:sz w:val="18"/>
                <w:szCs w:val="18"/>
                <w:u w:val="none"/>
                <w:lang w:val="en-US" w:eastAsia="zh-CN" w:bidi="ar"/>
              </w:rPr>
              <w:t>二级指标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4F5C">
            <w:pPr>
              <w:keepNext w:val="0"/>
              <w:keepLines w:val="0"/>
              <w:widowControl/>
              <w:suppressLineNumbers w:val="0"/>
              <w:jc w:val="center"/>
              <w:textAlignment w:val="center"/>
              <w:rPr>
                <w:rFonts w:hint="eastAsia"/>
                <w:sz w:val="24"/>
                <w:szCs w:val="24"/>
              </w:rPr>
            </w:pPr>
            <w:r>
              <w:rPr>
                <w:rFonts w:hint="eastAsia" w:ascii="宋体" w:hAnsi="宋体" w:eastAsia="宋体" w:cs="宋体"/>
                <w:b/>
                <w:bCs/>
                <w:i w:val="0"/>
                <w:iCs w:val="0"/>
                <w:color w:val="000000"/>
                <w:kern w:val="0"/>
                <w:sz w:val="18"/>
                <w:szCs w:val="18"/>
                <w:u w:val="none"/>
                <w:lang w:val="en-US" w:eastAsia="zh-CN" w:bidi="ar"/>
              </w:rPr>
              <w:t>指标要求</w:t>
            </w:r>
          </w:p>
        </w:tc>
      </w:tr>
      <w:tr w14:paraId="48555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485341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D2D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tcBorders>
              <w:top w:val="single" w:color="000000" w:sz="4" w:space="0"/>
              <w:left w:val="single" w:color="000000" w:sz="4" w:space="0"/>
              <w:bottom w:val="nil"/>
              <w:right w:val="single" w:color="000000" w:sz="4" w:space="0"/>
            </w:tcBorders>
            <w:shd w:val="clear" w:color="auto" w:fill="auto"/>
            <w:vAlign w:val="center"/>
          </w:tcPr>
          <w:p w14:paraId="286CB05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CPU规格</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2A770B2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 信息</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E9E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供应商给出 CPU 信息，包含 CPU 型号、物理核心数、主频、末级缓存容量、线程数、热设计功耗及内存的最高速率、通道数和位宽</w:t>
            </w:r>
          </w:p>
        </w:tc>
      </w:tr>
      <w:tr w14:paraId="51B4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A2DBC2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745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60FA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D8F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★内存配置容量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241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≥16GB</w:t>
            </w:r>
          </w:p>
        </w:tc>
      </w:tr>
      <w:tr w14:paraId="7A99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888B8A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415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C256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E38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54B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 DDR5 4800及以上内存类型</w:t>
            </w:r>
          </w:p>
        </w:tc>
      </w:tr>
      <w:tr w14:paraId="7299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32D60A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AD9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6D51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34F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612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配置内存≥1条，内存插槽总数≥2个</w:t>
            </w:r>
          </w:p>
        </w:tc>
      </w:tr>
      <w:tr w14:paraId="6C77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A76B16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AC3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043FE1D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14B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★主板集成模块</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36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r>
      <w:tr w14:paraId="4CE00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DF7D3C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E5D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990C94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4F5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★主板支持的 CPU 和内存情况</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24A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供应商给出主板支持的 CPU、内存型号和数量</w:t>
            </w:r>
          </w:p>
        </w:tc>
      </w:tr>
      <w:tr w14:paraId="13421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222A55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DB7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87FC87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31A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4A9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≥32GB</w:t>
            </w:r>
          </w:p>
        </w:tc>
      </w:tr>
      <w:tr w14:paraId="3EC92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6F2A13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320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DD74E6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E78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645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≥64GB</w:t>
            </w:r>
          </w:p>
        </w:tc>
      </w:tr>
      <w:tr w14:paraId="0179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BA0E56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153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A4D7D4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存储设备规格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909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★固态盘数量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696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36922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5C7599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9DC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30A138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B67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★固态存储容量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BBC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≥1TB</w:t>
            </w:r>
          </w:p>
        </w:tc>
      </w:tr>
      <w:tr w14:paraId="409BD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1831F2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034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DF27F3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5C3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机械硬盘数量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B800">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不配置机械硬盘</w:t>
            </w:r>
          </w:p>
        </w:tc>
      </w:tr>
      <w:tr w14:paraId="6C9A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6DE765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DBA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8224E0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52D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机械硬盘总容量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464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不配置机械硬盘</w:t>
            </w:r>
          </w:p>
        </w:tc>
      </w:tr>
      <w:tr w14:paraId="24EF1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C7EE58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0CC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D6AB10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7D4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机械硬盘转速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AF1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不配置机械硬盘</w:t>
            </w:r>
          </w:p>
        </w:tc>
      </w:tr>
      <w:tr w14:paraId="3CA9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FF712D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495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743122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3DD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机械硬盘接口协议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2B9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不配置机械硬盘</w:t>
            </w:r>
          </w:p>
        </w:tc>
      </w:tr>
      <w:tr w14:paraId="2B3B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5D0506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211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E9A0F3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B8E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机械硬盘形态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0CB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不配置机械硬盘</w:t>
            </w:r>
          </w:p>
        </w:tc>
      </w:tr>
      <w:tr w14:paraId="16805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81D8A3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E28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C758D3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FB1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★固态存储接口协议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B26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NVMe PCIE Gen4x4</w:t>
            </w:r>
          </w:p>
        </w:tc>
      </w:tr>
      <w:tr w14:paraId="6F2D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CD82BE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89B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A30CCE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2E7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固态存储形态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6EE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采用插卡形态，选用符合M.2的标准形态</w:t>
            </w:r>
          </w:p>
        </w:tc>
      </w:tr>
      <w:tr w14:paraId="55148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9F9971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33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C8D7B3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15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★存储设备扩展盘位</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6BD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≥1个空闲M.2硬盘槽位</w:t>
            </w:r>
          </w:p>
        </w:tc>
      </w:tr>
      <w:tr w14:paraId="53DD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A0E178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060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300881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1C1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C10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集成显卡</w:t>
            </w:r>
          </w:p>
        </w:tc>
      </w:tr>
      <w:tr w14:paraId="40E3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61FD5C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BB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CB9B1C2">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D2C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独立显卡显存类型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3FF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3C57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9A4510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B3B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3F45DC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CA9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独立显卡显存位宽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1930">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27EB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95594A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8F9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8C05BD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E7A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独立显卡显存容量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D5C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602D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74C7ED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1FA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0C5EC26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953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5BE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≥1920x1080</w:t>
            </w:r>
          </w:p>
        </w:tc>
      </w:tr>
      <w:tr w14:paraId="6D71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AC1EA9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3D1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32B3D8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FDC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显示屏可视角度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A13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水平≥178°</w:t>
            </w:r>
          </w:p>
        </w:tc>
      </w:tr>
      <w:tr w14:paraId="165E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FFC66A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29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E295CFF">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8F7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★显示屏尺寸</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A49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≥23 英寸</w:t>
            </w:r>
          </w:p>
        </w:tc>
      </w:tr>
      <w:tr w14:paraId="5C32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FB5FEF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A8C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F3595CF">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3AD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★显示屏屏幕比例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388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16:9</w:t>
            </w:r>
          </w:p>
        </w:tc>
      </w:tr>
      <w:tr w14:paraId="22E9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C44A4E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A9B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3C8296A">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AA9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★显示器边框颜色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53D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黑色/白色/银色等商务色系</w:t>
            </w:r>
          </w:p>
        </w:tc>
      </w:tr>
      <w:tr w14:paraId="7BB2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B08A3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E6F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70B352D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50E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★显示屏防蓝光</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AFE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支持防蓝光模式</w:t>
            </w:r>
          </w:p>
        </w:tc>
      </w:tr>
      <w:tr w14:paraId="4F35F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596652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D04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1C48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外设规格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AE9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★传声器数量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F49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0370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573606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3E3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E4CC2">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EC2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★扬声器数量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A2D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1FBBD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A9152F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CF7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E39A2">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3A3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★鼠标数量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811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404D7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459996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D1F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6E5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DBD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★键盘数量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DE1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0BF5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EF6A62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4C7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670E0">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2EC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★摄像头数量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0E1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≥1个</w:t>
            </w:r>
          </w:p>
        </w:tc>
      </w:tr>
      <w:tr w14:paraId="4A47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CB247C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7D9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25D5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AA2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光驱数量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009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不配置光驱</w:t>
            </w:r>
          </w:p>
        </w:tc>
      </w:tr>
      <w:tr w14:paraId="6DB4E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F4E1CE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D30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BCC30">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97A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★键盘按键数目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0E4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104 键</w:t>
            </w:r>
          </w:p>
        </w:tc>
      </w:tr>
      <w:tr w14:paraId="7B37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1C41B1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0C8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1A07A">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8FA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★摄像头像素</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926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≥200 万</w:t>
            </w:r>
          </w:p>
        </w:tc>
      </w:tr>
      <w:tr w14:paraId="67271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F975F1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B48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FBEF">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E2B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★摄像头分辨率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5C3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≥1920x1080</w:t>
            </w:r>
          </w:p>
        </w:tc>
      </w:tr>
      <w:tr w14:paraId="489C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E210B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2E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3565C">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F1A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★键盘颜色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34E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黑色/白色/银色等商务色系</w:t>
            </w:r>
          </w:p>
        </w:tc>
      </w:tr>
      <w:tr w14:paraId="4BA1E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066586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39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26C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4F7A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D49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★键盘连接方式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7C0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w:t>
            </w:r>
          </w:p>
        </w:tc>
      </w:tr>
      <w:tr w14:paraId="2E567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CDDC2C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235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B1CD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CE2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★有线键盘连接线</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305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≥1.5 米</w:t>
            </w:r>
          </w:p>
        </w:tc>
      </w:tr>
      <w:tr w14:paraId="0FCD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373877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11D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9FE20">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F97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★鼠标连接方式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196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w:t>
            </w:r>
          </w:p>
        </w:tc>
      </w:tr>
      <w:tr w14:paraId="453A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12E3D3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403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460B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FAB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★有线鼠标连接线</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3A4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≥1.5 米</w:t>
            </w:r>
          </w:p>
        </w:tc>
      </w:tr>
      <w:tr w14:paraId="7FF9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94B7D2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2F9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F8BD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659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★鼠标 DPI分辨率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B88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800~1600dpi</w:t>
            </w:r>
          </w:p>
        </w:tc>
      </w:tr>
      <w:tr w14:paraId="564B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25D901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C4E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9963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433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鼠标颜色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844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黑色/银色/白色等商务色系</w:t>
            </w:r>
          </w:p>
        </w:tc>
      </w:tr>
      <w:tr w14:paraId="367F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B0E5C0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21B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3009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19F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内置光驱</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5CF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不配置光驱</w:t>
            </w:r>
          </w:p>
        </w:tc>
      </w:tr>
      <w:tr w14:paraId="1F82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97226A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D7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8DFB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网络设备规格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FBD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★有线网卡数量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2EC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千兆网卡≥1个</w:t>
            </w:r>
          </w:p>
        </w:tc>
      </w:tr>
      <w:tr w14:paraId="44ED2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255205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6EF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31F5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0F1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8C4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无线网卡≥1</w:t>
            </w:r>
          </w:p>
        </w:tc>
      </w:tr>
      <w:tr w14:paraId="1BBA4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0F887C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EB2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C051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418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101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w:t>
            </w:r>
          </w:p>
        </w:tc>
      </w:tr>
      <w:tr w14:paraId="5F16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2C6E4E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870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1AB89A8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外部接口规格</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93E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★USB 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AFF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机箱应提供不少于5个原生USB接口，至少包含 2 个 USB3.0 及以上标准接口</w:t>
            </w:r>
          </w:p>
        </w:tc>
      </w:tr>
      <w:tr w14:paraId="1FD1D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36A208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71A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802CE6C">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D64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★视频接口数量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C70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 个接口，1 个原生 DP 接口和1 个原生 HDMI 接口</w:t>
            </w:r>
          </w:p>
        </w:tc>
      </w:tr>
      <w:tr w14:paraId="5A24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210B71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5F7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9271342">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1EA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★音频接口数量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FF9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w:t>
            </w:r>
          </w:p>
        </w:tc>
      </w:tr>
      <w:tr w14:paraId="67DD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612C03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52</w:t>
            </w:r>
          </w:p>
        </w:tc>
        <w:tc>
          <w:tcPr>
            <w:tcW w:w="737" w:type="dxa"/>
            <w:tcBorders>
              <w:top w:val="single" w:color="000000" w:sz="4" w:space="0"/>
              <w:left w:val="single" w:color="000000" w:sz="4" w:space="0"/>
              <w:bottom w:val="nil"/>
              <w:right w:val="single" w:color="000000" w:sz="4" w:space="0"/>
            </w:tcBorders>
            <w:shd w:val="clear" w:color="auto" w:fill="auto"/>
            <w:vAlign w:val="center"/>
          </w:tcPr>
          <w:p w14:paraId="4EC2A5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84EF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整机基础规格</w:t>
            </w:r>
          </w:p>
        </w:tc>
        <w:tc>
          <w:tcPr>
            <w:tcW w:w="2154" w:type="dxa"/>
            <w:tcBorders>
              <w:top w:val="single" w:color="000000" w:sz="4" w:space="0"/>
              <w:left w:val="single" w:color="000000" w:sz="4" w:space="0"/>
              <w:bottom w:val="nil"/>
              <w:right w:val="single" w:color="000000" w:sz="4" w:space="0"/>
            </w:tcBorders>
            <w:shd w:val="clear" w:color="auto" w:fill="auto"/>
            <w:vAlign w:val="center"/>
          </w:tcPr>
          <w:p w14:paraId="577CCEF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★整机外观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F0F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 产品表面说明功能的文字、符号、标志，应清晰、端正、牢固；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 宜在产品显著位置提供运行状态指示功能，并由生产厂商提供详细参数</w:t>
            </w:r>
          </w:p>
        </w:tc>
      </w:tr>
      <w:tr w14:paraId="791BD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FD1E3D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ACB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56A4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987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整机噪音</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F22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产品工作在空闲状态下，产品的声功率级应不超过4.5 Bel</w:t>
            </w:r>
          </w:p>
        </w:tc>
      </w:tr>
      <w:tr w14:paraId="4F6B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CF41C1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39E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C668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A8B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★整机能效限定值</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4EB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产品能效限定值应达到 GB 28380-2025标准中能效等级3 级及以上</w:t>
            </w:r>
          </w:p>
        </w:tc>
      </w:tr>
      <w:tr w14:paraId="1ABA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5AFBC6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B3C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61E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BC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机身材质</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F47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塑料/金属等</w:t>
            </w:r>
          </w:p>
        </w:tc>
      </w:tr>
      <w:tr w14:paraId="2596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5D3566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9AB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DBC5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0C8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★机身颜色</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2E3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一般选用灰色/黑色等商务色系</w:t>
            </w:r>
          </w:p>
        </w:tc>
      </w:tr>
      <w:tr w14:paraId="66064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F8D53D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495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产品规格</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E7B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AF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★机箱尺寸容量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4CA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主机外形尺寸（含底座）须小于56cm宽 x 41cm高 x 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cm厚</w:t>
            </w:r>
          </w:p>
        </w:tc>
      </w:tr>
      <w:tr w14:paraId="50AA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C789FA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288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C5F4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934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 物理核数</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23E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≥14核，20线程</w:t>
            </w:r>
          </w:p>
        </w:tc>
      </w:tr>
      <w:tr w14:paraId="462A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A4C8AD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59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E94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DF1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73E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 主频</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A2E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基本频率E核P核分别不低于 1.9GHz、2.6GHz，最大睿频E核P核分别不低于 3.7GHz、5.0GHz。</w:t>
            </w:r>
          </w:p>
        </w:tc>
      </w:tr>
      <w:tr w14:paraId="137B8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62DEFE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3DE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3C1A">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3BD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 末级缓存容量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B31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≥24MB</w:t>
            </w:r>
          </w:p>
        </w:tc>
      </w:tr>
      <w:tr w14:paraId="3E0A8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5FC5EB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7F3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3A30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7B5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6B2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≥4800MT/s</w:t>
            </w:r>
          </w:p>
        </w:tc>
      </w:tr>
      <w:tr w14:paraId="6E50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C1922E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903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12A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CA8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★内存读写速率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2BC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≥4800MT/s</w:t>
            </w:r>
          </w:p>
        </w:tc>
      </w:tr>
      <w:tr w14:paraId="3E083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E45706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A46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F565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F3D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★显示分辨率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ADE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≥1920x1080</w:t>
            </w:r>
          </w:p>
        </w:tc>
      </w:tr>
      <w:tr w14:paraId="5D44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F4F718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F2C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05D9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C92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67A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1146D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D9DD08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4C5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F2E9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C14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★显存等效频率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E4C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2966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DC90E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54A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E84BE">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2B8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★显卡可同时支持多屏显示数量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075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显卡应支持 2 块屏幕同时显示，分辨率应不低于 1920×1080</w:t>
            </w:r>
          </w:p>
        </w:tc>
      </w:tr>
      <w:tr w14:paraId="0BB5E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A9E180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1AC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7CA3020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显示设备性能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0FE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★显示屏刷新率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650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≥60Hz</w:t>
            </w:r>
          </w:p>
        </w:tc>
      </w:tr>
      <w:tr w14:paraId="492AF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E49D48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F33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FE91DCE">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37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★显示屏色域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C53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≥NTSC 72% 或 ≥sRGB 99%</w:t>
            </w:r>
          </w:p>
        </w:tc>
      </w:tr>
      <w:tr w14:paraId="75F7F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096A59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69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E15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F463D6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C79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★显示屏响应时间</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34C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≤22ms</w:t>
            </w:r>
          </w:p>
        </w:tc>
      </w:tr>
      <w:tr w14:paraId="1A58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6D1BB4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44D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398E54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163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★显示屏亮度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C39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≥250 尼特</w:t>
            </w:r>
          </w:p>
        </w:tc>
      </w:tr>
      <w:tr w14:paraId="31F7C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A5E704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44E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696E25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F6C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★显示屏对比度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0AD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≥1000：1</w:t>
            </w:r>
          </w:p>
        </w:tc>
      </w:tr>
      <w:tr w14:paraId="32A6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DDCB5B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4B2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B1EE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网络设备性能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2F8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★有线网卡速率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BEE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最高速率宜不低于 1000Mbps，宜支持 10Mbps、100Mbps、1000Mbps 速率自适应</w:t>
            </w:r>
          </w:p>
        </w:tc>
      </w:tr>
      <w:tr w14:paraId="2E0E9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4D06CB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FC0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926D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B94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438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支持WiFi6.0 及以上协议</w:t>
            </w:r>
          </w:p>
        </w:tc>
      </w:tr>
      <w:tr w14:paraId="520F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7F91E8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C2F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CD70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916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无线网卡频宽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1AC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≥160MHz</w:t>
            </w:r>
          </w:p>
        </w:tc>
      </w:tr>
      <w:tr w14:paraId="6753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9E14BA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762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性能要求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3CB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电源适配器性能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140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★电源适配器电源效率</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DDB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平均效率应不低于82%</w:t>
            </w:r>
          </w:p>
        </w:tc>
      </w:tr>
      <w:tr w14:paraId="135DB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6A439E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74B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0959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F34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C73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≥2</w:t>
            </w:r>
          </w:p>
        </w:tc>
      </w:tr>
      <w:tr w14:paraId="25A84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0991AA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886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5BAF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718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8D2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供应商给出主板支持存储扩展接口类型，如 UFS3.0、SATA3.0、 SAS3.0、M.2 等类型接口</w:t>
            </w:r>
          </w:p>
        </w:tc>
      </w:tr>
      <w:tr w14:paraId="2E64D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E74CAB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ACB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1A4F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724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 USB瞬间过流保护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FF0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支持瞬间过流保护功能</w:t>
            </w:r>
          </w:p>
        </w:tc>
      </w:tr>
      <w:tr w14:paraId="0BCC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B0C91D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79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91E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C98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FE8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★主板防静电保护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24B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支持防静电保护功能</w:t>
            </w:r>
          </w:p>
        </w:tc>
      </w:tr>
      <w:tr w14:paraId="5FA4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EDD0CB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566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6E46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250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★I/O 接口功能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845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内置或通过扩展坞支持数据传输接口、视频接口、音频接口、网络接口、电源接口等各类标准接口，应具备接入键盘、鼠标、写字板等外设的能力</w:t>
            </w:r>
          </w:p>
        </w:tc>
      </w:tr>
      <w:tr w14:paraId="2D03A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F6EDB3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632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A700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E59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★显卡外接显示接口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2A2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显示接口至少支持HDMI和DP 2种</w:t>
            </w:r>
          </w:p>
        </w:tc>
      </w:tr>
      <w:tr w14:paraId="71B6C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675F58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2D6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74EC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BA0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独立显卡数量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52C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不配置独立显卡</w:t>
            </w:r>
          </w:p>
        </w:tc>
      </w:tr>
      <w:tr w14:paraId="2E368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E39079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90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304A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显示设备功能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1C4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★显示器支架</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C1F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支持桌面支架安装和壁挂支架安装</w:t>
            </w:r>
          </w:p>
        </w:tc>
      </w:tr>
      <w:tr w14:paraId="7CE9F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95FFE6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E99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CA7B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587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显示屏参数调节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034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支持色温、亮度、对比度等显示参数调节</w:t>
            </w:r>
          </w:p>
        </w:tc>
      </w:tr>
      <w:tr w14:paraId="0761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C69BE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8A4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F4C1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外设功能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E2C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612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支持物理隐私保护开关</w:t>
            </w:r>
          </w:p>
        </w:tc>
      </w:tr>
      <w:tr w14:paraId="476C5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DBD7C3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F88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F4B8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A6B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传声器降噪</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DD5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支持降噪功能</w:t>
            </w:r>
          </w:p>
        </w:tc>
      </w:tr>
      <w:tr w14:paraId="1609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B35BF9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0A6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1C3D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E85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光驱功能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CC0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不配置光驱</w:t>
            </w:r>
          </w:p>
        </w:tc>
      </w:tr>
      <w:tr w14:paraId="12865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31B8FA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534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C32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存储功能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95E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★存储功能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098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支持信息存储功能，包括支持易失性存储功能和非易失性存储功能。为提升存储性能和降低存储功耗，非易失性存储宜支持固态存储设备，如 SSD/UFS。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产品应支持外出接口可以与独立的存储设备进行数据交互</w:t>
            </w:r>
          </w:p>
        </w:tc>
      </w:tr>
      <w:tr w14:paraId="6E5E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880818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89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8D7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41FA597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网络设备功能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6FE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★网络功能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F17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a)支持网络连接、网络开启/关闭；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b)支持访问网络和数据交换功能</w:t>
            </w:r>
          </w:p>
        </w:tc>
      </w:tr>
      <w:tr w14:paraId="1940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238D9C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1FC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F639CF6">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799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无线网卡频段</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05F0">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支持双频段</w:t>
            </w:r>
          </w:p>
        </w:tc>
      </w:tr>
      <w:tr w14:paraId="2E27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87AA59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69A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5842B0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8F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★数据传输</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7CF2">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r>
      <w:tr w14:paraId="161D8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D5429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967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C6EF83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5C8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蓝牙协议</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9C1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支持蓝牙模块，蓝牙协议不低于5.0 版本</w:t>
            </w:r>
          </w:p>
        </w:tc>
      </w:tr>
      <w:tr w14:paraId="47B8C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472CB4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432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0918C0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0BE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★有线网卡接口类型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134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配备有线网络通信模块 ,宜支持RJ45 接口</w:t>
            </w:r>
          </w:p>
        </w:tc>
      </w:tr>
      <w:tr w14:paraId="39B5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4C2D41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840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4B1F8A6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外部接口功能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264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★音频接口类型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5230">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支持1个3.5mm孔径的3 段式或4 段式音频接口</w:t>
            </w:r>
          </w:p>
        </w:tc>
      </w:tr>
      <w:tr w14:paraId="0792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EDE16C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022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1973CEA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49B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★视频接口类型</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41A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显示接口至少支持HDMI和DP 2种，同时主机至少1种接口具备视频输入、输出功能。</w:t>
            </w:r>
          </w:p>
        </w:tc>
      </w:tr>
      <w:tr w14:paraId="173CF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EA3AA4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A42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9EAC40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4D2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★HDMI、DP、 Type-C 显示接口要求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5C1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若提供 HDMI 或 DP 或 Type-C 接口应同时支持视频和音频输出</w:t>
            </w:r>
          </w:p>
        </w:tc>
      </w:tr>
      <w:tr w14:paraId="0906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022CD9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6C1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4DC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电源功能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F0E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★电源线适配能力</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A581">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 15934-2008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对于可拆线插头 GB15934 不做要求</w:t>
            </w:r>
          </w:p>
        </w:tc>
      </w:tr>
      <w:tr w14:paraId="435F4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5CA407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0B9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931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中文信息处理</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83A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★中文信息处理要求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C99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 18030 的相关规定</w:t>
            </w:r>
          </w:p>
        </w:tc>
      </w:tr>
      <w:tr w14:paraId="15F5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DE6906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99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E4C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20EC1D2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F03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5D3E">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支持操作系统备份及还原功能</w:t>
            </w:r>
          </w:p>
        </w:tc>
      </w:tr>
      <w:tr w14:paraId="49F8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D3E9CF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920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F83648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274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★固件备份还原能力</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E6C3">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支持备份及还原固件的功能</w:t>
            </w:r>
          </w:p>
        </w:tc>
      </w:tr>
      <w:tr w14:paraId="4276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49537C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763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4A2501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D47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48D0">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r>
      <w:tr w14:paraId="72A84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819873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F39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50ACB0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01A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固件升级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060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r>
      <w:tr w14:paraId="17E73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02252A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1CE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62AA40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5E3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5D9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支持BIOS 关闭以太网及 USB 接口</w:t>
            </w:r>
          </w:p>
        </w:tc>
      </w:tr>
      <w:tr w14:paraId="454A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328C56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CC4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773AFD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358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★固件查看信息</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88CF">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r>
      <w:tr w14:paraId="7385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A47C33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A63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4C1EFC7">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026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★固件设置启动顺序</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E9F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r>
      <w:tr w14:paraId="402E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BB5080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946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C0CA2D9">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3B4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★固件设置口令</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BDC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r>
      <w:tr w14:paraId="16BC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1B13E37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9CD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功能要求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8070FB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0FA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★固件设置网络引导</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D93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支持网络引导启动和关闭功能</w:t>
            </w:r>
          </w:p>
        </w:tc>
      </w:tr>
      <w:tr w14:paraId="47CF7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B034C8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8DE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AC91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整机可靠性要求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4E9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F3A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9254.2 的规定</w:t>
            </w:r>
          </w:p>
        </w:tc>
      </w:tr>
      <w:tr w14:paraId="5886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51C42F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109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152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790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673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AA9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9813.1 中规定</w:t>
            </w:r>
          </w:p>
        </w:tc>
      </w:tr>
      <w:tr w14:paraId="1C2C8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E42F63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96F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4CA63">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C4C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401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9813.1 中规定</w:t>
            </w:r>
          </w:p>
        </w:tc>
      </w:tr>
      <w:tr w14:paraId="36A5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4A6B5F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D49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0678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12F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8E54">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9813.1 中规定</w:t>
            </w:r>
          </w:p>
        </w:tc>
      </w:tr>
      <w:tr w14:paraId="140A7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48E74E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BDC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A5E78">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F79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5A8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9813.1 中规定</w:t>
            </w:r>
          </w:p>
        </w:tc>
      </w:tr>
      <w:tr w14:paraId="41A4D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36F5F6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681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3100A">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E1C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BBB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 GB/T 9813.1 中规定</w:t>
            </w:r>
          </w:p>
        </w:tc>
      </w:tr>
      <w:tr w14:paraId="1F50C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070B92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0AD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可靠性要求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5618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CCE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★MTBF 测试</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9E2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MTBF(m1)≥100 万小时</w:t>
            </w:r>
          </w:p>
        </w:tc>
      </w:tr>
      <w:tr w14:paraId="7A6F1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F26969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627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包装及运输要求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B4E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包装及运输要求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011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F56C">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符合GB/T 9813.1 和商品包装政府采购需求标准的相关规定</w:t>
            </w:r>
          </w:p>
        </w:tc>
      </w:tr>
      <w:tr w14:paraId="07D31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5E1C43E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6DD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restart"/>
            <w:tcBorders>
              <w:top w:val="single" w:color="000000" w:sz="4" w:space="0"/>
              <w:left w:val="single" w:color="000000" w:sz="4" w:space="0"/>
              <w:bottom w:val="nil"/>
              <w:right w:val="single" w:color="000000" w:sz="4" w:space="0"/>
            </w:tcBorders>
            <w:shd w:val="clear" w:color="auto" w:fill="auto"/>
            <w:vAlign w:val="center"/>
          </w:tcPr>
          <w:p w14:paraId="55E867B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DF8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★配置检查工具</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8EB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供应商提供自检测试工具</w:t>
            </w:r>
          </w:p>
        </w:tc>
      </w:tr>
      <w:tr w14:paraId="6397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17E94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AD9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3B2719C">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A5B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★服务响应</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F37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a)供应商提供电话、电子邮件、远程连接等多种形式服务；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b)供应商提供同城 4h、异地 12h 技术响应服务，2 个工作日解决问题，对于未能解决的问题和故障应提供可行的升级方案，并提供周转设备或更换设备；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c)建立全国技术服务体系和服务团体，符合专业服务体系标准要求，提供原厂中文服务；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d)服务周期内提供产品的维修、换件和升级服务</w:t>
            </w:r>
          </w:p>
        </w:tc>
      </w:tr>
      <w:tr w14:paraId="33F2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B4B6AF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F6A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224492F">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691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★服务周期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3D8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a) 设备停产后应继续提供质量保障服务（含备品备件），服务终止时间与最后一批设备交付时间间隔不低于6 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 产品停止服务时间应提前 1 年告知；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c) 应明确产品发布日期</w:t>
            </w:r>
          </w:p>
        </w:tc>
      </w:tr>
      <w:tr w14:paraId="67C54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DE1A38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119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640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6997AFFE">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3B8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★预装操作系统</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747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预装正版操作系统</w:t>
            </w:r>
          </w:p>
        </w:tc>
      </w:tr>
      <w:tr w14:paraId="463D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0D0F6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05B6">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0887B8CE">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5E6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★培训服务</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6C3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r>
      <w:tr w14:paraId="483F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95B6C0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7F1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7DB7345">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1C7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★典型问题解决手册</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CC1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r>
      <w:tr w14:paraId="1EC51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2DA541F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E5F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FE995B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DAC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9E8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供应商提供满足采购人要求的操作系统定制化镜像及系统预部署服务。</w:t>
            </w:r>
          </w:p>
        </w:tc>
      </w:tr>
      <w:tr w14:paraId="3681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608360B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92E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2F1669DD">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309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★整机质量服务要求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5E1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主机提供原厂原装配置。原厂质保≥3年，提供备件、人工、上门服务，以上费用包含在投标报价中，</w:t>
            </w:r>
            <w:r>
              <w:rPr>
                <w:rFonts w:hint="eastAsia" w:ascii="宋体" w:hAnsi="宋体" w:cs="宋体"/>
                <w:i w:val="0"/>
                <w:iCs w:val="0"/>
                <w:color w:val="000000"/>
                <w:kern w:val="0"/>
                <w:sz w:val="18"/>
                <w:szCs w:val="18"/>
                <w:u w:val="none"/>
                <w:lang w:val="en-US" w:eastAsia="zh-CN" w:bidi="ar"/>
              </w:rPr>
              <w:t>投标人</w:t>
            </w:r>
            <w:r>
              <w:rPr>
                <w:rFonts w:hint="eastAsia" w:ascii="宋体" w:hAnsi="宋体" w:eastAsia="宋体" w:cs="宋体"/>
                <w:i w:val="0"/>
                <w:iCs w:val="0"/>
                <w:color w:val="000000"/>
                <w:kern w:val="0"/>
                <w:sz w:val="18"/>
                <w:szCs w:val="18"/>
                <w:u w:val="none"/>
                <w:lang w:val="en-US" w:eastAsia="zh-CN" w:bidi="ar"/>
              </w:rPr>
              <w:t>提供售后服务承诺函</w:t>
            </w:r>
            <w:r>
              <w:rPr>
                <w:rFonts w:hint="eastAsia" w:ascii="宋体" w:hAnsi="宋体" w:cs="宋体"/>
                <w:color w:val="000000"/>
                <w:kern w:val="0"/>
                <w:sz w:val="18"/>
                <w:szCs w:val="18"/>
                <w:u w:val="none"/>
                <w:lang w:bidi="ar"/>
              </w:rPr>
              <w:t>及整机所有部件原厂原装承诺函</w:t>
            </w:r>
            <w:r>
              <w:rPr>
                <w:rFonts w:hint="eastAsia" w:ascii="宋体" w:hAnsi="宋体" w:cs="宋体"/>
                <w:color w:val="000000"/>
                <w:kern w:val="0"/>
                <w:sz w:val="18"/>
                <w:szCs w:val="18"/>
                <w:u w:val="none"/>
                <w:lang w:eastAsia="zh-CN" w:bidi="ar"/>
              </w:rPr>
              <w:t>。</w:t>
            </w:r>
          </w:p>
        </w:tc>
      </w:tr>
      <w:tr w14:paraId="3E1C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431504A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C20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3D3382B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469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★合格证书要求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D71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供应商提供产品合格证</w:t>
            </w:r>
          </w:p>
        </w:tc>
      </w:tr>
      <w:tr w14:paraId="5D78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440153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125</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EDB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533406E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53D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★驱动下载服务要求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D0ED">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r>
      <w:tr w14:paraId="61B2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32AFAED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126</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591C">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服务要求</w:t>
            </w:r>
          </w:p>
        </w:tc>
        <w:tc>
          <w:tcPr>
            <w:tcW w:w="1134" w:type="dxa"/>
            <w:vMerge w:val="continue"/>
            <w:tcBorders>
              <w:top w:val="single" w:color="000000" w:sz="4" w:space="0"/>
              <w:left w:val="single" w:color="000000" w:sz="4" w:space="0"/>
              <w:bottom w:val="nil"/>
              <w:right w:val="single" w:color="000000" w:sz="4" w:space="0"/>
            </w:tcBorders>
            <w:shd w:val="clear" w:color="auto" w:fill="auto"/>
            <w:vAlign w:val="center"/>
          </w:tcPr>
          <w:p w14:paraId="4A5C2D6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907F">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9FEB">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r>
      <w:tr w14:paraId="3C8F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007ABDA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BDBD">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D41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供应链合规性</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F71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★产品部件保障</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0628">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供应商保障产品主要部件，提供 6 年的备件服务能力（自购买之日起），或提供可兼容原设备的升级换代产品</w:t>
            </w:r>
          </w:p>
        </w:tc>
      </w:tr>
      <w:tr w14:paraId="7DB7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nil"/>
              <w:right w:val="single" w:color="000000" w:sz="4" w:space="0"/>
            </w:tcBorders>
            <w:shd w:val="clear" w:color="auto" w:fill="auto"/>
            <w:vAlign w:val="center"/>
          </w:tcPr>
          <w:p w14:paraId="78549F9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1285">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55429">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供应链质量</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2051">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★抗干扰性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2325">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r>
      <w:tr w14:paraId="64B70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5E2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129</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B8F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供应保障要求</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80D71">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8230">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★供应能力证明</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4AA9">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r>
      <w:tr w14:paraId="1C7CF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11B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130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DD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Style w:val="5"/>
                <w:rFonts w:hint="eastAsia" w:ascii="宋体" w:hAnsi="宋体" w:eastAsia="宋体" w:cs="宋体"/>
                <w:color w:val="000000"/>
                <w:kern w:val="0"/>
                <w:sz w:val="18"/>
                <w:szCs w:val="18"/>
                <w:u w:val="none"/>
                <w:lang w:val="en-US" w:eastAsia="zh-CN" w:bidi="ar"/>
              </w:rPr>
              <w:t>安全要求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FE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关键部件安全要求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54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★关键部件安全要求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DF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关键部件应当符合相关安全要求</w:t>
            </w:r>
          </w:p>
        </w:tc>
      </w:tr>
      <w:tr w14:paraId="472C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4F93">
            <w:pPr>
              <w:keepNext w:val="0"/>
              <w:keepLines w:val="0"/>
              <w:widowControl/>
              <w:suppressLineNumbers w:val="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131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851F">
            <w:pPr>
              <w:keepNext w:val="0"/>
              <w:keepLines w:val="0"/>
              <w:widowControl/>
              <w:suppressLineNumbers w:val="0"/>
              <w:jc w:val="center"/>
              <w:textAlignment w:val="center"/>
              <w:rPr>
                <w:rFonts w:hint="eastAsia" w:ascii="宋体" w:hAnsi="宋体" w:eastAsia="宋体" w:cs="宋体"/>
                <w:color w:val="000000"/>
                <w:kern w:val="0"/>
                <w:sz w:val="18"/>
                <w:szCs w:val="18"/>
                <w:u w:val="none"/>
                <w:lang w:val="en-US" w:eastAsia="zh-CN" w:bidi="ar"/>
              </w:rPr>
            </w:pPr>
            <w:r>
              <w:rPr>
                <w:rFonts w:hint="eastAsia" w:ascii="宋体" w:hAnsi="宋体" w:eastAsia="宋体" w:cs="宋体"/>
                <w:color w:val="000000"/>
                <w:kern w:val="0"/>
                <w:sz w:val="18"/>
                <w:szCs w:val="18"/>
                <w:u w:val="none"/>
                <w:lang w:val="en-US" w:eastAsia="zh-CN" w:bidi="ar"/>
              </w:rPr>
              <w:t>安全要求</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1A370583">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整机安全性要求</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C58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USB端口管控</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8B6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支持USB端口管控</w:t>
            </w:r>
          </w:p>
        </w:tc>
      </w:tr>
      <w:tr w14:paraId="08CD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F577">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2</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EBA8">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right w:val="single" w:color="000000" w:sz="4" w:space="0"/>
            </w:tcBorders>
            <w:shd w:val="clear" w:color="auto" w:fill="auto"/>
            <w:vAlign w:val="center"/>
          </w:tcPr>
          <w:p w14:paraId="179C824A">
            <w:pPr>
              <w:keepNext w:val="0"/>
              <w:keepLines w:val="0"/>
              <w:widowControl/>
              <w:suppressLineNumbers w:val="0"/>
              <w:jc w:val="center"/>
              <w:textAlignment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891A">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安全物理锁</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C7C6">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支持安全物理锁</w:t>
            </w:r>
          </w:p>
        </w:tc>
      </w:tr>
      <w:tr w14:paraId="3915A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510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167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right w:val="single" w:color="000000" w:sz="4" w:space="0"/>
            </w:tcBorders>
            <w:shd w:val="clear" w:color="auto" w:fill="auto"/>
            <w:vAlign w:val="center"/>
          </w:tcPr>
          <w:p w14:paraId="6175B784">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618B">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固件安全启动</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54EA">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r>
      <w:tr w14:paraId="406B5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624" w:type="dxa"/>
            <w:tcBorders>
              <w:top w:val="nil"/>
              <w:left w:val="single" w:color="000000" w:sz="4" w:space="0"/>
              <w:bottom w:val="single" w:color="000000" w:sz="4" w:space="0"/>
              <w:right w:val="single" w:color="000000" w:sz="4" w:space="0"/>
            </w:tcBorders>
            <w:shd w:val="clear" w:color="auto" w:fill="auto"/>
            <w:vAlign w:val="center"/>
          </w:tcPr>
          <w:p w14:paraId="34B9C97E">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4</w:t>
            </w:r>
          </w:p>
        </w:tc>
        <w:tc>
          <w:tcPr>
            <w:tcW w:w="737" w:type="dxa"/>
            <w:tcBorders>
              <w:top w:val="nil"/>
              <w:left w:val="single" w:color="000000" w:sz="4" w:space="0"/>
              <w:bottom w:val="single" w:color="000000" w:sz="4" w:space="0"/>
              <w:right w:val="single" w:color="000000" w:sz="4" w:space="0"/>
            </w:tcBorders>
            <w:shd w:val="clear" w:color="auto" w:fill="auto"/>
            <w:vAlign w:val="center"/>
          </w:tcPr>
          <w:p w14:paraId="2F969B42">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安全要求</w:t>
            </w:r>
          </w:p>
        </w:tc>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6FBDCA2B">
            <w:pPr>
              <w:jc w:val="center"/>
              <w:rPr>
                <w:rFonts w:hint="eastAsia"/>
                <w:sz w:val="24"/>
                <w:szCs w:val="24"/>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25D4">
            <w:pPr>
              <w:keepNext w:val="0"/>
              <w:keepLines w:val="0"/>
              <w:widowControl/>
              <w:suppressLineNumbers w:val="0"/>
              <w:jc w:val="center"/>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4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6EF7">
            <w:pPr>
              <w:keepNext w:val="0"/>
              <w:keepLines w:val="0"/>
              <w:widowControl/>
              <w:suppressLineNumbers w:val="0"/>
              <w:jc w:val="left"/>
              <w:textAlignment w:val="center"/>
              <w:rPr>
                <w:rFonts w:hint="eastAsia"/>
                <w:sz w:val="24"/>
                <w:szCs w:val="24"/>
              </w:rPr>
            </w:pPr>
            <w:r>
              <w:rPr>
                <w:rFonts w:hint="eastAsia" w:ascii="宋体" w:hAnsi="宋体" w:eastAsia="宋体" w:cs="宋体"/>
                <w:i w:val="0"/>
                <w:iCs w:val="0"/>
                <w:color w:val="000000"/>
                <w:kern w:val="0"/>
                <w:sz w:val="18"/>
                <w:szCs w:val="18"/>
                <w:u w:val="none"/>
                <w:lang w:val="en-US" w:eastAsia="zh-CN" w:bidi="ar"/>
              </w:rPr>
              <w:t>符合GB/T 26572 中规定</w:t>
            </w:r>
          </w:p>
        </w:tc>
      </w:tr>
    </w:tbl>
    <w:p w14:paraId="62AA36DD">
      <w:pPr>
        <w:spacing w:after="160" w:line="360" w:lineRule="auto"/>
        <w:ind w:firstLine="480" w:firstLineChars="200"/>
        <w:contextualSpacing/>
        <w:rPr>
          <w:rFonts w:hint="eastAsia" w:eastAsia="宋体"/>
          <w:sz w:val="24"/>
        </w:rPr>
      </w:pPr>
      <w:r>
        <w:rPr>
          <w:rFonts w:hint="eastAsia" w:eastAsia="宋体"/>
          <w:sz w:val="24"/>
        </w:rPr>
        <w:t>2.3为落实政府采购政策需满足的要求</w:t>
      </w:r>
    </w:p>
    <w:p w14:paraId="06807639">
      <w:pPr>
        <w:widowControl/>
        <w:spacing w:after="160" w:line="360" w:lineRule="auto"/>
        <w:ind w:firstLine="480" w:firstLineChars="200"/>
        <w:contextualSpacing/>
        <w:rPr>
          <w:rFonts w:hint="eastAsia"/>
          <w:sz w:val="24"/>
        </w:rPr>
      </w:pPr>
      <w:r>
        <w:rPr>
          <w:rFonts w:hint="eastAsia"/>
          <w:sz w:val="24"/>
        </w:rPr>
        <w:t>★投标人承诺所投产品符合</w:t>
      </w:r>
      <w:r>
        <w:rPr>
          <w:rFonts w:hint="eastAsia"/>
          <w:sz w:val="24"/>
          <w:lang w:val="en-US" w:eastAsia="zh-CN"/>
        </w:rPr>
        <w:t>本文件</w:t>
      </w:r>
      <w:r>
        <w:rPr>
          <w:rFonts w:hint="eastAsia"/>
          <w:sz w:val="24"/>
        </w:rPr>
        <w:t>中所有</w:t>
      </w:r>
      <w:r>
        <w:rPr>
          <w:rFonts w:hint="eastAsia"/>
          <w:sz w:val="24"/>
          <w:lang w:val="en-US" w:eastAsia="zh-CN"/>
        </w:rPr>
        <w:t>标注★的</w:t>
      </w:r>
      <w:r>
        <w:rPr>
          <w:rFonts w:hint="eastAsia"/>
          <w:sz w:val="24"/>
        </w:rPr>
        <w:t>指标要求，提供加盖投标人公章的承诺函。</w:t>
      </w:r>
    </w:p>
    <w:p w14:paraId="10D382FD">
      <w:pPr>
        <w:widowControl/>
        <w:spacing w:after="160" w:line="360" w:lineRule="auto"/>
        <w:ind w:firstLine="480" w:firstLineChars="200"/>
        <w:contextualSpacing/>
        <w:rPr>
          <w:rFonts w:hint="default"/>
          <w:sz w:val="24"/>
        </w:rPr>
      </w:pPr>
      <w:r>
        <w:rPr>
          <w:rFonts w:hint="eastAsia"/>
          <w:sz w:val="24"/>
        </w:rPr>
        <w:t>本项目产品用于支撑</w:t>
      </w:r>
      <w:r>
        <w:rPr>
          <w:rFonts w:hint="eastAsia"/>
          <w:sz w:val="24"/>
          <w:lang w:val="en-US" w:eastAsia="zh-CN"/>
        </w:rPr>
        <w:t>采购人</w:t>
      </w:r>
      <w:r>
        <w:rPr>
          <w:rFonts w:hint="eastAsia"/>
          <w:sz w:val="24"/>
        </w:rPr>
        <w:t>医疗业务系统，</w:t>
      </w:r>
      <w:r>
        <w:rPr>
          <w:rFonts w:hint="eastAsia"/>
          <w:sz w:val="24"/>
          <w:lang w:val="en-US" w:eastAsia="zh-CN"/>
        </w:rPr>
        <w:t>现有</w:t>
      </w:r>
      <w:r>
        <w:rPr>
          <w:rFonts w:hint="eastAsia"/>
          <w:sz w:val="24"/>
        </w:rPr>
        <w:t>相关医疗专业软件</w:t>
      </w:r>
      <w:r>
        <w:rPr>
          <w:rFonts w:hint="eastAsia"/>
          <w:sz w:val="24"/>
          <w:lang w:val="en-US" w:eastAsia="zh-CN"/>
        </w:rPr>
        <w:t>运行于</w:t>
      </w:r>
      <w:r>
        <w:rPr>
          <w:rFonts w:hint="eastAsia"/>
          <w:sz w:val="24"/>
        </w:rPr>
        <w:t>非信创架构环境</w:t>
      </w:r>
      <w:r>
        <w:rPr>
          <w:rFonts w:hint="eastAsia"/>
          <w:sz w:val="24"/>
          <w:lang w:eastAsia="zh-CN"/>
        </w:rPr>
        <w:t>。投标人所投产品须满足</w:t>
      </w:r>
      <w:r>
        <w:rPr>
          <w:rFonts w:hint="eastAsia"/>
          <w:sz w:val="24"/>
          <w:lang w:val="en-US" w:eastAsia="zh-CN"/>
        </w:rPr>
        <w:t>本文件所列</w:t>
      </w:r>
      <w:r>
        <w:rPr>
          <w:rFonts w:hint="eastAsia"/>
          <w:sz w:val="24"/>
          <w:lang w:eastAsia="zh-CN"/>
        </w:rPr>
        <w:t>技术参数及兼容性要求，以确保与现有医疗业务系统的正常对接。</w:t>
      </w:r>
    </w:p>
    <w:p w14:paraId="3E36264C">
      <w:pPr>
        <w:spacing w:after="160" w:line="360" w:lineRule="auto"/>
        <w:ind w:firstLine="480" w:firstLineChars="200"/>
        <w:contextualSpacing/>
        <w:rPr>
          <w:rFonts w:hint="eastAsia" w:eastAsia="宋体"/>
          <w:sz w:val="24"/>
        </w:rPr>
      </w:pPr>
      <w:r>
        <w:rPr>
          <w:rFonts w:hint="eastAsia" w:eastAsia="宋体"/>
          <w:sz w:val="24"/>
        </w:rPr>
        <w:t>3. 验收标准</w:t>
      </w:r>
    </w:p>
    <w:p w14:paraId="3F514C7F">
      <w:r>
        <w:rPr>
          <w:rFonts w:hint="eastAsia"/>
          <w:sz w:val="24"/>
          <w:lang w:val="en-US" w:eastAsia="zh-CN"/>
        </w:rPr>
        <w:t>按采购需求交付</w:t>
      </w:r>
      <w:r>
        <w:rPr>
          <w:rFonts w:hint="eastAsia"/>
          <w:sz w:val="24"/>
        </w:rPr>
        <w:t>货物后进行验收，验收依据相关国家相关标准、行业标准、地方标准或者其他标准、规范。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FBF9E4C"/>
    <w:multiLevelType w:val="singleLevel"/>
    <w:tmpl w:val="1FBF9E4C"/>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E62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customStyle="1" w:styleId="3">
    <w:name w:val="目录 11"/>
    <w:next w:val="1"/>
    <w:qFormat/>
    <w:uiPriority w:val="0"/>
    <w:pPr>
      <w:wordWrap w:val="0"/>
      <w:jc w:val="both"/>
    </w:pPr>
    <w:rPr>
      <w:rFonts w:ascii="Calibri" w:hAnsi="Calibri" w:eastAsia="宋体" w:cs="Calibr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2026-11-02T02:32:11Z</dcterms:created>
  <dc:creator>luozhao</dc:creator>
  <cp:lastModifiedBy>LZ</cp:lastModifiedBy>
  <dcterms:modified xsi:type="dcterms:W3CDTF">2026-11-02T02:32:46Z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8B6FC340B8AA4B0DBD5DDF07D53B6553_12</vt:lpwstr>
  </property>
</Properties>
</file>